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ECE8A">
      <w:pPr>
        <w:jc w:val="center"/>
        <w:rPr>
          <w:rFonts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进一步深化殡葬领域改革工作实施方案</w:t>
      </w:r>
    </w:p>
    <w:bookmarkEnd w:id="0"/>
    <w:p w14:paraId="5953D115">
      <w:pPr>
        <w:keepNext w:val="0"/>
        <w:keepLines w:val="0"/>
        <w:pageBreakBefore w:val="0"/>
        <w:widowControl w:val="0"/>
        <w:kinsoku/>
        <w:wordWrap/>
        <w:overflowPunct/>
        <w:topLinePunct w:val="0"/>
        <w:autoSpaceDE/>
        <w:autoSpaceDN/>
        <w:bidi w:val="0"/>
        <w:adjustRightInd/>
        <w:snapToGrid/>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为进一步深化殡葬改革，全力推进实现“价格最优、服务最好、群众最满意”的集中整治目标，针对补强殡葬领域基础设施与公共服务能力建设和殡葬服务全流程各环节的短板弱项，落实增强群众体验感、获得感和“伤心事、暖心办”的具体举措，全力促进文明治丧、文明祭扫等移风易俗新风尚，从而全面提升人民群众基本殡葬需求的保障水平，促进殡葬事业健康发展，根据有关精神，结合我县实际，制定本实施方案。</w:t>
      </w:r>
    </w:p>
    <w:p w14:paraId="4F99EDA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一、工作目标</w:t>
      </w:r>
    </w:p>
    <w:p w14:paraId="735CABB3">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持续深化殡葬改革工作成果，理顺全县各层级殡葬管理关系；依法解决殡仪馆（青山陵园）建设管理过程中的历史遗留问题，促进规范化；推动实现殡葬服务收费的规范化和透明化，从根本上遏制违规收费行为，减轻群众负担；进一步建立健全殡葬服务的规范和标准，强化殡葬服务机构的管理水平；加强城市和农村公益性公墓建设管理，持续推进绿色节地生态安葬；依法推进殡葬服务市场违法经营、遗体或骨灰违规安放（葬）问题集中整治，坚决遏制散埋乱葬行为；深化移风易俗改革，积极稳妥有序实现城区集中治丧；发挥村（居）红白理事会积极作用，全面深入推进殡葬领域乡风文明建设；通过推行系统举措，全县基本形成倡导移风易俗、厚养薄葬、文明节俭办丧，基本建成城乡殡葬管理与服务体系，殡葬事业健康有序发展。</w:t>
      </w:r>
    </w:p>
    <w:p w14:paraId="7731D8E0">
      <w:pPr>
        <w:keepNext w:val="0"/>
        <w:keepLines w:val="0"/>
        <w:pageBreakBefore w:val="0"/>
        <w:widowControl w:val="0"/>
        <w:kinsoku/>
        <w:wordWrap/>
        <w:overflowPunct/>
        <w:topLinePunct w:val="0"/>
        <w:autoSpaceDE/>
        <w:autoSpaceDN/>
        <w:bidi w:val="0"/>
        <w:adjustRightInd/>
        <w:snapToGrid/>
        <w:jc w:val="both"/>
        <w:textAlignment w:val="auto"/>
        <w:rPr>
          <w:rFonts w:ascii="黑体" w:hAnsi="黑体" w:eastAsia="黑体" w:cs="黑体"/>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sz w:val="32"/>
          <w:szCs w:val="32"/>
        </w:rPr>
        <w:t>二、主要任务</w:t>
      </w:r>
    </w:p>
    <w:p w14:paraId="263D527A">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strike/>
          <w:color w:val="auto"/>
          <w:sz w:val="32"/>
          <w:szCs w:val="32"/>
          <w:u w:val="none"/>
        </w:rPr>
      </w:pPr>
      <w:r>
        <w:rPr>
          <w:rFonts w:hint="eastAsia" w:ascii="楷体" w:hAnsi="楷体" w:eastAsia="楷体" w:cs="楷体"/>
          <w:color w:val="auto"/>
          <w:sz w:val="32"/>
          <w:szCs w:val="32"/>
          <w:u w:val="none"/>
        </w:rPr>
        <w:t>（一）加强</w:t>
      </w:r>
      <w:r>
        <w:rPr>
          <w:rFonts w:hint="eastAsia" w:ascii="楷体" w:hAnsi="楷体" w:eastAsia="楷体" w:cs="楷体"/>
          <w:color w:val="auto"/>
          <w:sz w:val="32"/>
          <w:szCs w:val="32"/>
        </w:rPr>
        <w:t>临终</w:t>
      </w:r>
      <w:r>
        <w:rPr>
          <w:rFonts w:hint="eastAsia" w:ascii="楷体" w:hAnsi="楷体" w:eastAsia="楷体" w:cs="楷体"/>
          <w:color w:val="auto"/>
          <w:sz w:val="32"/>
          <w:szCs w:val="32"/>
          <w:lang w:eastAsia="zh-CN"/>
        </w:rPr>
        <w:t>（人文）</w:t>
      </w:r>
      <w:r>
        <w:rPr>
          <w:rFonts w:hint="eastAsia" w:ascii="楷体" w:hAnsi="楷体" w:eastAsia="楷体" w:cs="楷体"/>
          <w:color w:val="auto"/>
          <w:sz w:val="32"/>
          <w:szCs w:val="32"/>
        </w:rPr>
        <w:t>关</w:t>
      </w:r>
      <w:r>
        <w:rPr>
          <w:rFonts w:hint="eastAsia" w:ascii="楷体" w:hAnsi="楷体" w:eastAsia="楷体" w:cs="楷体"/>
          <w:color w:val="auto"/>
          <w:sz w:val="32"/>
          <w:szCs w:val="32"/>
          <w:u w:val="none"/>
        </w:rPr>
        <w:t>怀，规范遗体接运。</w:t>
      </w:r>
      <w:r>
        <w:rPr>
          <w:rFonts w:hint="eastAsia" w:ascii="仿宋" w:hAnsi="仿宋" w:eastAsia="仿宋" w:cs="仿宋"/>
          <w:color w:val="auto"/>
          <w:sz w:val="32"/>
          <w:szCs w:val="32"/>
          <w:u w:val="none"/>
        </w:rPr>
        <w:t>规范提供县级医院病危临终人员转运服务，</w:t>
      </w:r>
      <w:r>
        <w:rPr>
          <w:rFonts w:hint="eastAsia" w:ascii="仿宋" w:hAnsi="仿宋" w:eastAsia="仿宋" w:cs="仿宋"/>
          <w:color w:val="auto"/>
          <w:sz w:val="32"/>
          <w:szCs w:val="32"/>
          <w:u w:val="none"/>
        </w:rPr>
        <w:t>加强对亡故人员遗体的转运管理。根据集中办丧要求和返乡办丧需求，加强人文关怀，合理确定人员及遗体运送方式。县</w:t>
      </w:r>
      <w:r>
        <w:rPr>
          <w:rFonts w:hint="eastAsia" w:ascii="仿宋" w:hAnsi="仿宋" w:eastAsia="仿宋" w:cs="仿宋"/>
          <w:color w:val="auto"/>
          <w:sz w:val="32"/>
          <w:szCs w:val="32"/>
          <w:u w:val="none"/>
          <w:lang w:eastAsia="zh-CN"/>
        </w:rPr>
        <w:t>内</w:t>
      </w:r>
      <w:r>
        <w:rPr>
          <w:rFonts w:hint="eastAsia" w:ascii="仿宋" w:hAnsi="仿宋" w:eastAsia="仿宋" w:cs="仿宋"/>
          <w:color w:val="auto"/>
          <w:sz w:val="32"/>
          <w:szCs w:val="32"/>
          <w:u w:val="none"/>
        </w:rPr>
        <w:t>医疗机构</w:t>
      </w:r>
      <w:r>
        <w:rPr>
          <w:rFonts w:hint="eastAsia" w:ascii="仿宋" w:hAnsi="仿宋" w:eastAsia="仿宋" w:cs="仿宋"/>
          <w:color w:val="auto"/>
          <w:sz w:val="32"/>
          <w:szCs w:val="32"/>
          <w:u w:val="none"/>
          <w:lang w:eastAsia="zh-CN"/>
        </w:rPr>
        <w:t>（含</w:t>
      </w:r>
      <w:r>
        <w:rPr>
          <w:rFonts w:hint="eastAsia" w:ascii="仿宋" w:hAnsi="仿宋" w:eastAsia="仿宋" w:cs="仿宋"/>
          <w:b w:val="0"/>
          <w:bCs w:val="0"/>
          <w:color w:val="auto"/>
          <w:sz w:val="32"/>
          <w:szCs w:val="32"/>
          <w:lang w:val="en-US" w:eastAsia="zh-CN"/>
        </w:rPr>
        <w:t>县级医院、乡镇卫生院</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和公安机关加强《死亡证明》出具管理；加强社会车辆接运行为的整治，</w:t>
      </w:r>
      <w:r>
        <w:rPr>
          <w:rFonts w:hint="eastAsia" w:ascii="仿宋" w:hAnsi="仿宋" w:eastAsia="仿宋" w:cs="仿宋"/>
          <w:color w:val="auto"/>
          <w:sz w:val="32"/>
          <w:szCs w:val="32"/>
          <w:u w:val="none"/>
          <w:lang w:eastAsia="zh-CN"/>
        </w:rPr>
        <w:t>县级医院</w:t>
      </w:r>
      <w:r>
        <w:rPr>
          <w:rFonts w:hint="eastAsia" w:ascii="仿宋" w:hAnsi="仿宋" w:eastAsia="仿宋" w:cs="仿宋"/>
          <w:color w:val="auto"/>
          <w:sz w:val="32"/>
          <w:szCs w:val="32"/>
          <w:u w:val="none"/>
        </w:rPr>
        <w:t>和县殡葬服务机构加强社会车辆运送遗体的登记，县公安机关加强排查，全面规范遗体接运工作。</w:t>
      </w:r>
    </w:p>
    <w:p w14:paraId="3A52B9D0">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strike/>
          <w:color w:val="auto"/>
          <w:sz w:val="32"/>
          <w:szCs w:val="32"/>
        </w:rPr>
      </w:pPr>
      <w:r>
        <w:rPr>
          <w:rFonts w:hint="eastAsia" w:ascii="楷体" w:hAnsi="楷体" w:eastAsia="楷体" w:cs="楷体"/>
          <w:color w:val="auto"/>
          <w:sz w:val="32"/>
          <w:szCs w:val="32"/>
        </w:rPr>
        <w:t>（二）实施城区集中治丧，规范农村地区丧事活动。</w:t>
      </w:r>
      <w:r>
        <w:rPr>
          <w:rFonts w:hint="eastAsia" w:ascii="仿宋" w:hAnsi="仿宋" w:eastAsia="仿宋" w:cs="仿宋"/>
          <w:color w:val="auto"/>
          <w:sz w:val="32"/>
          <w:szCs w:val="32"/>
        </w:rPr>
        <w:t>积极落实《江西省殡葬管理办法》《江西省民政厅、省发改委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江西省殡葬事业“十四五”发展规划</w:t>
      </w:r>
      <w:r>
        <w:rPr>
          <w:rFonts w:hint="eastAsia" w:ascii="仿宋" w:hAnsi="仿宋" w:eastAsia="仿宋" w:cs="仿宋"/>
          <w:color w:val="auto"/>
          <w:sz w:val="32"/>
          <w:szCs w:val="32"/>
          <w:lang w:eastAsia="zh-CN"/>
        </w:rPr>
        <w:t>〉的通知》</w:t>
      </w:r>
      <w:r>
        <w:rPr>
          <w:rFonts w:hint="eastAsia" w:ascii="仿宋" w:hAnsi="仿宋" w:eastAsia="仿宋" w:cs="仿宋"/>
          <w:color w:val="auto"/>
          <w:sz w:val="32"/>
          <w:szCs w:val="32"/>
        </w:rPr>
        <w:t>，加强县殡仪馆集中治丧场所提升建设，解决历史遗留的殡仪馆道路入口安全隐患问题，在“十四五”末期实现中心城区集中治丧工作。鼓励农村地区到县殡仪馆集中治丧，充分发挥红白理事会在农村地区的功能作用，全面推进规范农村地区丧事活动。</w:t>
      </w:r>
    </w:p>
    <w:p w14:paraId="58E7AD05">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color w:val="auto"/>
          <w:sz w:val="32"/>
          <w:szCs w:val="32"/>
        </w:rPr>
        <w:t>（三）完善殡仪服务流程，提升服务能力。</w:t>
      </w:r>
      <w:r>
        <w:rPr>
          <w:rFonts w:hint="eastAsia" w:ascii="仿宋" w:hAnsi="仿宋" w:eastAsia="仿宋" w:cs="仿宋"/>
          <w:color w:val="auto"/>
          <w:sz w:val="32"/>
          <w:szCs w:val="32"/>
        </w:rPr>
        <w:t>突出基本殡葬服务的公益属性，推进县殡仪馆由政府收回举办。结合回购工作，加强殡仪服务标准化建设，规范收费项目和公示，完善内部各类管理制度。制订全县殡仪服务流程指导方案，规范各项业务服务环节流程。加快“互联网+殡葬”信息化建设，用好全省殡葬管理信息系统，推进殡葬服务便捷化。加强专业人才引入和培养，全面提升专业化服务水平。</w:t>
      </w:r>
    </w:p>
    <w:p w14:paraId="0D6C78F1">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color w:val="auto"/>
          <w:sz w:val="32"/>
          <w:szCs w:val="32"/>
        </w:rPr>
        <w:t>（四）加强骨灰安葬管理，推行生态葬法。</w:t>
      </w:r>
      <w:r>
        <w:rPr>
          <w:rFonts w:hint="eastAsia" w:ascii="仿宋" w:hAnsi="仿宋" w:eastAsia="仿宋" w:cs="仿宋"/>
          <w:color w:val="auto"/>
          <w:sz w:val="32"/>
          <w:szCs w:val="32"/>
        </w:rPr>
        <w:t>落实《江西省公墓管理办法》，加强经营性公墓和公益性公墓建设与管理，加大整治力度，解决经营性公墓历史遗留违规用地和墓位规划不合理等问题。公益性公墓要加强长远规划，保证辖区骨灰安葬需求。加强重大项目迁坟点和历史埋葬点管理，杜绝在政策边缘违规建坟、散埋乱葬等乱象。鼓励和引导群众采用树葬、花葬、江葬及可降解骨灰盒等节地生态方式安葬骨灰，使安葬活动更好地促进人与自然和谐发展。加强骨灰流向监管，做到可追溯、闭环管理。建立逝者档案，“一人一档”规范管理。</w:t>
      </w:r>
    </w:p>
    <w:p w14:paraId="4807FFD8">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深化移风易俗改革，促进乡风家风文明。</w:t>
      </w:r>
      <w:r>
        <w:rPr>
          <w:rFonts w:hint="eastAsia" w:ascii="仿宋" w:hAnsi="仿宋" w:eastAsia="仿宋" w:cs="仿宋"/>
          <w:color w:val="auto"/>
          <w:sz w:val="32"/>
          <w:szCs w:val="32"/>
        </w:rPr>
        <w:t>充分发挥基层自治组织和农村红白理事会作用，制定完善乡规民约，弘扬和传承优良家风，倡导庄重简朴的丧葬习俗，树立孝亲敬老、崇德向善的乡村新风尚。推进和倡导文明殡葬，积极引导群众选择网络祭祀、集体祭祀、鲜花祭祀、居家祭祀等现代文明方式，逐渐减少焚烧纸扎、焚香摆供等传统祭祀形式。坚持殡葬公共服务和公益方向，充分发挥政策引导作用，不断完善惠民殡葬政策，逐步提高基本丧葬费的减免标准、增加减免项目、扩大减免范围，有效减轻群众办丧负担。通过政府引导、村规民约约束和家庭家风文化传承自觉践行，使殡葬文化成为弘扬家庭美德、促进乡风文明的有力抓手。</w:t>
      </w:r>
    </w:p>
    <w:p w14:paraId="253ACFD4">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color w:val="auto"/>
          <w:sz w:val="32"/>
          <w:szCs w:val="32"/>
        </w:rPr>
        <w:t>（六）理顺殡葬管理体制，加强执法监管。</w:t>
      </w:r>
      <w:r>
        <w:rPr>
          <w:rFonts w:hint="eastAsia" w:ascii="仿宋" w:hAnsi="仿宋" w:eastAsia="仿宋" w:cs="仿宋"/>
          <w:color w:val="auto"/>
          <w:sz w:val="32"/>
          <w:szCs w:val="32"/>
        </w:rPr>
        <w:t>厘清各职能部门殡葬领域监管责任，建立跨部门联合监管责任清单。建立跨部门协作机制，明确协作内容，持续开展殡葬领域腐败和乱象问题治理，坚决纠正利用行业特殊性损害群众利益的突出问题，切实加强殡葬行业综合监管。建立完善殡葬领域联合执法工作机制，强化执法手段、提高执法水平。</w:t>
      </w:r>
    </w:p>
    <w:p w14:paraId="27BF3B46">
      <w:pPr>
        <w:keepNext w:val="0"/>
        <w:keepLines w:val="0"/>
        <w:pageBreakBefore w:val="0"/>
        <w:widowControl w:val="0"/>
        <w:kinsoku/>
        <w:wordWrap/>
        <w:overflowPunct/>
        <w:topLinePunct w:val="0"/>
        <w:autoSpaceDE/>
        <w:autoSpaceDN/>
        <w:bidi w:val="0"/>
        <w:adjustRightInd/>
        <w:snapToGrid/>
        <w:ind w:firstLine="64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三、实施步骤</w:t>
      </w:r>
    </w:p>
    <w:p w14:paraId="22517115">
      <w:pPr>
        <w:keepNext w:val="0"/>
        <w:keepLines w:val="0"/>
        <w:pageBreakBefore w:val="0"/>
        <w:widowControl w:val="0"/>
        <w:kinsoku/>
        <w:wordWrap/>
        <w:overflowPunct/>
        <w:topLinePunct w:val="0"/>
        <w:autoSpaceDE/>
        <w:autoSpaceDN/>
        <w:bidi w:val="0"/>
        <w:adjustRightInd/>
        <w:snapToGrid/>
        <w:ind w:firstLine="640"/>
        <w:jc w:val="both"/>
        <w:textAlignment w:val="auto"/>
        <w:rPr>
          <w:rFonts w:ascii="楷体" w:hAnsi="楷体" w:eastAsia="楷体" w:cs="楷体"/>
          <w:color w:val="auto"/>
          <w:sz w:val="32"/>
          <w:szCs w:val="32"/>
        </w:rPr>
      </w:pPr>
      <w:r>
        <w:rPr>
          <w:rFonts w:hint="eastAsia" w:ascii="楷体" w:hAnsi="楷体" w:eastAsia="楷体" w:cs="楷体"/>
          <w:color w:val="auto"/>
          <w:sz w:val="32"/>
          <w:szCs w:val="32"/>
        </w:rPr>
        <w:t>（一）宣传发动和组织动员阶段（2025年9月底前）</w:t>
      </w:r>
    </w:p>
    <w:p w14:paraId="1438B7E2">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ascii="仿宋" w:hAnsi="仿宋" w:eastAsia="仿宋" w:cs="仿宋"/>
          <w:b/>
          <w:bCs/>
          <w:color w:val="auto"/>
          <w:sz w:val="32"/>
          <w:szCs w:val="32"/>
        </w:rPr>
        <w:t>1.</w:t>
      </w:r>
      <w:r>
        <w:rPr>
          <w:rFonts w:hint="eastAsia" w:ascii="仿宋" w:hAnsi="仿宋" w:eastAsia="仿宋" w:cs="仿宋"/>
          <w:b/>
          <w:bCs/>
          <w:color w:val="auto"/>
          <w:sz w:val="32"/>
          <w:szCs w:val="32"/>
        </w:rPr>
        <w:t>积极</w:t>
      </w:r>
      <w:r>
        <w:rPr>
          <w:rFonts w:ascii="仿宋" w:hAnsi="仿宋" w:eastAsia="仿宋" w:cs="仿宋"/>
          <w:b/>
          <w:bCs/>
          <w:color w:val="auto"/>
          <w:sz w:val="32"/>
          <w:szCs w:val="32"/>
        </w:rPr>
        <w:t>组织社会宣传</w:t>
      </w:r>
      <w:r>
        <w:rPr>
          <w:rFonts w:hint="eastAsia" w:ascii="仿宋" w:hAnsi="仿宋" w:eastAsia="仿宋" w:cs="仿宋"/>
          <w:b/>
          <w:bCs/>
          <w:color w:val="auto"/>
          <w:sz w:val="32"/>
          <w:szCs w:val="32"/>
        </w:rPr>
        <w:t>动员</w:t>
      </w:r>
      <w:r>
        <w:rPr>
          <w:rFonts w:ascii="仿宋" w:hAnsi="仿宋" w:eastAsia="仿宋" w:cs="仿宋"/>
          <w:b/>
          <w:bCs/>
          <w:color w:val="auto"/>
          <w:sz w:val="32"/>
          <w:szCs w:val="32"/>
        </w:rPr>
        <w:t>。</w:t>
      </w:r>
      <w:r>
        <w:rPr>
          <w:rFonts w:hint="eastAsia" w:ascii="仿宋" w:hAnsi="仿宋" w:eastAsia="仿宋" w:cs="仿宋"/>
          <w:color w:val="auto"/>
          <w:sz w:val="32"/>
          <w:szCs w:val="32"/>
        </w:rPr>
        <w:t>以各种</w:t>
      </w:r>
      <w:r>
        <w:rPr>
          <w:rFonts w:ascii="仿宋" w:hAnsi="仿宋" w:eastAsia="仿宋" w:cs="仿宋"/>
          <w:color w:val="auto"/>
          <w:sz w:val="32"/>
          <w:szCs w:val="32"/>
        </w:rPr>
        <w:t>形式开展全县</w:t>
      </w:r>
      <w:r>
        <w:rPr>
          <w:rFonts w:hint="eastAsia" w:ascii="仿宋" w:hAnsi="仿宋" w:eastAsia="仿宋" w:cs="仿宋"/>
          <w:color w:val="auto"/>
          <w:sz w:val="32"/>
          <w:szCs w:val="32"/>
        </w:rPr>
        <w:t>深化</w:t>
      </w:r>
      <w:r>
        <w:rPr>
          <w:rFonts w:ascii="仿宋" w:hAnsi="仿宋" w:eastAsia="仿宋" w:cs="仿宋"/>
          <w:color w:val="auto"/>
          <w:sz w:val="32"/>
          <w:szCs w:val="32"/>
        </w:rPr>
        <w:t>殡葬</w:t>
      </w:r>
      <w:r>
        <w:rPr>
          <w:rFonts w:hint="eastAsia" w:ascii="仿宋" w:hAnsi="仿宋" w:eastAsia="仿宋" w:cs="仿宋"/>
          <w:color w:val="auto"/>
          <w:sz w:val="32"/>
          <w:szCs w:val="32"/>
        </w:rPr>
        <w:t>领域</w:t>
      </w:r>
      <w:r>
        <w:rPr>
          <w:rFonts w:ascii="仿宋" w:hAnsi="仿宋" w:eastAsia="仿宋" w:cs="仿宋"/>
          <w:color w:val="auto"/>
          <w:sz w:val="32"/>
          <w:szCs w:val="32"/>
        </w:rPr>
        <w:t>改革工作</w:t>
      </w:r>
      <w:r>
        <w:rPr>
          <w:rFonts w:hint="eastAsia" w:ascii="仿宋" w:hAnsi="仿宋" w:eastAsia="仿宋" w:cs="仿宋"/>
          <w:color w:val="auto"/>
          <w:sz w:val="32"/>
          <w:szCs w:val="32"/>
        </w:rPr>
        <w:t>动员</w:t>
      </w:r>
      <w:r>
        <w:rPr>
          <w:rFonts w:ascii="仿宋" w:hAnsi="仿宋" w:eastAsia="仿宋" w:cs="仿宋"/>
          <w:color w:val="auto"/>
          <w:sz w:val="32"/>
          <w:szCs w:val="32"/>
        </w:rPr>
        <w:t>，</w:t>
      </w:r>
      <w:r>
        <w:rPr>
          <w:rFonts w:hint="eastAsia" w:ascii="仿宋" w:hAnsi="仿宋" w:eastAsia="仿宋" w:cs="仿宋"/>
          <w:color w:val="auto"/>
          <w:sz w:val="32"/>
          <w:szCs w:val="32"/>
        </w:rPr>
        <w:t>各部门、</w:t>
      </w:r>
      <w:r>
        <w:rPr>
          <w:rFonts w:ascii="仿宋" w:hAnsi="仿宋" w:eastAsia="仿宋" w:cs="仿宋"/>
          <w:color w:val="auto"/>
          <w:sz w:val="32"/>
          <w:szCs w:val="32"/>
        </w:rPr>
        <w:t>各乡（镇）和基层村</w:t>
      </w:r>
      <w:r>
        <w:rPr>
          <w:rFonts w:hint="eastAsia" w:ascii="仿宋" w:hAnsi="仿宋" w:eastAsia="仿宋" w:cs="仿宋"/>
          <w:color w:val="auto"/>
          <w:sz w:val="32"/>
          <w:szCs w:val="32"/>
        </w:rPr>
        <w:t>（社区）</w:t>
      </w:r>
      <w:r>
        <w:rPr>
          <w:rFonts w:ascii="仿宋" w:hAnsi="仿宋" w:eastAsia="仿宋" w:cs="仿宋"/>
          <w:color w:val="auto"/>
          <w:sz w:val="32"/>
          <w:szCs w:val="32"/>
        </w:rPr>
        <w:t>要</w:t>
      </w:r>
      <w:r>
        <w:rPr>
          <w:rFonts w:hint="eastAsia" w:ascii="仿宋" w:hAnsi="仿宋" w:eastAsia="仿宋" w:cs="仿宋"/>
          <w:color w:val="auto"/>
          <w:sz w:val="32"/>
          <w:szCs w:val="32"/>
        </w:rPr>
        <w:t>通过</w:t>
      </w:r>
      <w:r>
        <w:rPr>
          <w:rFonts w:ascii="仿宋" w:hAnsi="仿宋" w:eastAsia="仿宋" w:cs="仿宋"/>
          <w:color w:val="auto"/>
          <w:sz w:val="32"/>
          <w:szCs w:val="32"/>
        </w:rPr>
        <w:t>各种方式组织干部</w:t>
      </w:r>
      <w:r>
        <w:rPr>
          <w:rFonts w:hint="eastAsia" w:ascii="仿宋" w:hAnsi="仿宋" w:eastAsia="仿宋" w:cs="仿宋"/>
          <w:color w:val="auto"/>
          <w:sz w:val="32"/>
          <w:szCs w:val="32"/>
        </w:rPr>
        <w:t>、</w:t>
      </w:r>
      <w:r>
        <w:rPr>
          <w:rFonts w:ascii="仿宋" w:hAnsi="仿宋" w:eastAsia="仿宋" w:cs="仿宋"/>
          <w:color w:val="auto"/>
          <w:sz w:val="32"/>
          <w:szCs w:val="32"/>
        </w:rPr>
        <w:t>职工履职尽责</w:t>
      </w:r>
      <w:r>
        <w:rPr>
          <w:rFonts w:hint="eastAsia" w:ascii="仿宋" w:hAnsi="仿宋" w:eastAsia="仿宋" w:cs="仿宋"/>
          <w:color w:val="auto"/>
          <w:sz w:val="32"/>
          <w:szCs w:val="32"/>
        </w:rPr>
        <w:t>，</w:t>
      </w:r>
      <w:r>
        <w:rPr>
          <w:rFonts w:ascii="仿宋" w:hAnsi="仿宋" w:eastAsia="仿宋" w:cs="仿宋"/>
          <w:color w:val="auto"/>
          <w:sz w:val="32"/>
          <w:szCs w:val="32"/>
        </w:rPr>
        <w:t>要利用进村入户面对面等方式宣传殡葬改革政策，引导群众和居民</w:t>
      </w:r>
      <w:r>
        <w:rPr>
          <w:rFonts w:hint="eastAsia" w:ascii="仿宋" w:hAnsi="仿宋" w:eastAsia="仿宋" w:cs="仿宋"/>
          <w:color w:val="auto"/>
          <w:sz w:val="32"/>
          <w:szCs w:val="32"/>
        </w:rPr>
        <w:t>支持殡葬改革</w:t>
      </w:r>
      <w:r>
        <w:rPr>
          <w:rFonts w:ascii="仿宋" w:hAnsi="仿宋" w:eastAsia="仿宋" w:cs="仿宋"/>
          <w:color w:val="auto"/>
          <w:sz w:val="32"/>
          <w:szCs w:val="32"/>
        </w:rPr>
        <w:t>，做到家喻户晓、人人皆知</w:t>
      </w:r>
      <w:r>
        <w:rPr>
          <w:rFonts w:hint="eastAsia" w:ascii="仿宋" w:hAnsi="仿宋" w:eastAsia="仿宋" w:cs="仿宋"/>
          <w:color w:val="auto"/>
          <w:sz w:val="32"/>
          <w:szCs w:val="32"/>
        </w:rPr>
        <w:t>，</w:t>
      </w:r>
      <w:r>
        <w:rPr>
          <w:rFonts w:ascii="仿宋" w:hAnsi="仿宋" w:eastAsia="仿宋" w:cs="仿宋"/>
          <w:color w:val="auto"/>
          <w:sz w:val="32"/>
          <w:szCs w:val="32"/>
        </w:rPr>
        <w:t>动员广大群众理解支持殡葬领域深化改革举措，</w:t>
      </w:r>
      <w:r>
        <w:rPr>
          <w:rFonts w:hint="eastAsia" w:ascii="仿宋" w:hAnsi="仿宋" w:eastAsia="仿宋" w:cs="仿宋"/>
          <w:color w:val="auto"/>
          <w:sz w:val="32"/>
          <w:szCs w:val="32"/>
        </w:rPr>
        <w:t>筑牢改革工作基础</w:t>
      </w:r>
      <w:r>
        <w:rPr>
          <w:rFonts w:ascii="仿宋" w:hAnsi="仿宋" w:eastAsia="仿宋" w:cs="仿宋"/>
          <w:color w:val="auto"/>
          <w:sz w:val="32"/>
          <w:szCs w:val="32"/>
        </w:rPr>
        <w:t>。</w:t>
      </w:r>
    </w:p>
    <w:p w14:paraId="1C8A4502">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rPr>
        <w:t>2.加强从业人员宣传动员</w:t>
      </w:r>
      <w:r>
        <w:rPr>
          <w:rFonts w:ascii="仿宋" w:hAnsi="仿宋" w:eastAsia="仿宋" w:cs="仿宋"/>
          <w:b/>
          <w:bCs/>
          <w:color w:val="auto"/>
          <w:sz w:val="32"/>
          <w:szCs w:val="32"/>
        </w:rPr>
        <w:t>。</w:t>
      </w:r>
      <w:r>
        <w:rPr>
          <w:rFonts w:ascii="仿宋" w:hAnsi="仿宋" w:eastAsia="仿宋" w:cs="仿宋"/>
          <w:color w:val="auto"/>
          <w:sz w:val="32"/>
          <w:szCs w:val="32"/>
        </w:rPr>
        <w:t>强化对白事从业人员的宣传和监管</w:t>
      </w:r>
      <w:r>
        <w:rPr>
          <w:rFonts w:hint="eastAsia" w:ascii="仿宋" w:hAnsi="仿宋" w:eastAsia="仿宋" w:cs="仿宋"/>
          <w:color w:val="auto"/>
          <w:sz w:val="32"/>
          <w:szCs w:val="32"/>
        </w:rPr>
        <w:t>。市场监管局及</w:t>
      </w:r>
      <w:r>
        <w:rPr>
          <w:rFonts w:ascii="仿宋" w:hAnsi="仿宋" w:eastAsia="仿宋" w:cs="仿宋"/>
          <w:color w:val="auto"/>
          <w:sz w:val="32"/>
          <w:szCs w:val="32"/>
        </w:rPr>
        <w:t>乡镇全面摸清辖区内丧葬市场经营现状</w:t>
      </w:r>
      <w:r>
        <w:rPr>
          <w:rFonts w:hint="eastAsia" w:ascii="仿宋" w:hAnsi="仿宋" w:eastAsia="仿宋" w:cs="仿宋"/>
          <w:color w:val="auto"/>
          <w:sz w:val="32"/>
          <w:szCs w:val="32"/>
        </w:rPr>
        <w:t>，</w:t>
      </w:r>
      <w:r>
        <w:rPr>
          <w:rFonts w:ascii="仿宋" w:hAnsi="仿宋" w:eastAsia="仿宋" w:cs="仿宋"/>
          <w:color w:val="auto"/>
          <w:sz w:val="32"/>
          <w:szCs w:val="32"/>
        </w:rPr>
        <w:t>建立完善</w:t>
      </w:r>
      <w:r>
        <w:rPr>
          <w:rFonts w:hint="eastAsia" w:ascii="仿宋" w:hAnsi="仿宋" w:eastAsia="仿宋" w:cs="仿宋"/>
          <w:color w:val="auto"/>
          <w:sz w:val="32"/>
          <w:szCs w:val="32"/>
        </w:rPr>
        <w:t>殡葬领域</w:t>
      </w:r>
      <w:r>
        <w:rPr>
          <w:rFonts w:ascii="仿宋" w:hAnsi="仿宋" w:eastAsia="仿宋" w:cs="仿宋"/>
          <w:color w:val="auto"/>
          <w:sz w:val="32"/>
          <w:szCs w:val="32"/>
        </w:rPr>
        <w:t>生产</w:t>
      </w:r>
      <w:r>
        <w:rPr>
          <w:rFonts w:hint="eastAsia" w:ascii="仿宋" w:hAnsi="仿宋" w:eastAsia="仿宋" w:cs="仿宋"/>
          <w:color w:val="auto"/>
          <w:sz w:val="32"/>
          <w:szCs w:val="32"/>
        </w:rPr>
        <w:t>经营企业、个体经营户、未注册登记的个人从业者等</w:t>
      </w:r>
      <w:r>
        <w:rPr>
          <w:rFonts w:ascii="仿宋" w:hAnsi="仿宋" w:eastAsia="仿宋" w:cs="仿宋"/>
          <w:color w:val="auto"/>
          <w:sz w:val="32"/>
          <w:szCs w:val="32"/>
        </w:rPr>
        <w:t>信息台账，</w:t>
      </w:r>
      <w:r>
        <w:rPr>
          <w:rFonts w:hint="eastAsia" w:ascii="仿宋" w:hAnsi="仿宋" w:eastAsia="仿宋" w:cs="仿宋"/>
          <w:color w:val="auto"/>
          <w:sz w:val="32"/>
          <w:szCs w:val="32"/>
        </w:rPr>
        <w:t>对</w:t>
      </w:r>
      <w:r>
        <w:rPr>
          <w:rFonts w:ascii="仿宋" w:hAnsi="仿宋" w:eastAsia="仿宋" w:cs="仿宋"/>
          <w:color w:val="auto"/>
          <w:sz w:val="32"/>
          <w:szCs w:val="32"/>
        </w:rPr>
        <w:t>行业从业者要面对面宣讲沟通</w:t>
      </w:r>
      <w:r>
        <w:rPr>
          <w:rFonts w:hint="eastAsia" w:ascii="仿宋" w:hAnsi="仿宋" w:eastAsia="仿宋" w:cs="仿宋"/>
          <w:color w:val="auto"/>
          <w:sz w:val="32"/>
          <w:szCs w:val="32"/>
        </w:rPr>
        <w:t>，</w:t>
      </w:r>
      <w:r>
        <w:rPr>
          <w:rFonts w:ascii="仿宋" w:hAnsi="仿宋" w:eastAsia="仿宋" w:cs="仿宋"/>
          <w:color w:val="auto"/>
          <w:sz w:val="32"/>
          <w:szCs w:val="32"/>
        </w:rPr>
        <w:t>对其行为加强规范管理</w:t>
      </w:r>
      <w:r>
        <w:rPr>
          <w:rFonts w:hint="eastAsia" w:ascii="仿宋" w:hAnsi="仿宋" w:eastAsia="仿宋" w:cs="仿宋"/>
          <w:color w:val="auto"/>
          <w:sz w:val="32"/>
          <w:szCs w:val="32"/>
        </w:rPr>
        <w:t>，</w:t>
      </w:r>
      <w:r>
        <w:rPr>
          <w:rFonts w:ascii="仿宋" w:hAnsi="仿宋" w:eastAsia="仿宋" w:cs="仿宋"/>
          <w:color w:val="auto"/>
          <w:sz w:val="32"/>
          <w:szCs w:val="32"/>
        </w:rPr>
        <w:t>尤其对涉及迷信</w:t>
      </w:r>
      <w:r>
        <w:rPr>
          <w:rFonts w:hint="eastAsia" w:ascii="仿宋" w:hAnsi="仿宋" w:eastAsia="仿宋" w:cs="仿宋"/>
          <w:color w:val="auto"/>
          <w:sz w:val="32"/>
          <w:szCs w:val="32"/>
        </w:rPr>
        <w:t>、</w:t>
      </w:r>
      <w:r>
        <w:rPr>
          <w:rFonts w:ascii="仿宋" w:hAnsi="仿宋" w:eastAsia="仿宋" w:cs="仿宋"/>
          <w:color w:val="auto"/>
          <w:sz w:val="32"/>
          <w:szCs w:val="32"/>
        </w:rPr>
        <w:t>陋习和民间巧立名目与乱收费问题</w:t>
      </w:r>
      <w:r>
        <w:rPr>
          <w:rFonts w:hint="eastAsia" w:ascii="仿宋" w:hAnsi="仿宋" w:eastAsia="仿宋" w:cs="仿宋"/>
          <w:color w:val="auto"/>
          <w:sz w:val="32"/>
          <w:szCs w:val="32"/>
        </w:rPr>
        <w:t>加大</w:t>
      </w:r>
      <w:r>
        <w:rPr>
          <w:rFonts w:ascii="仿宋" w:hAnsi="仿宋" w:eastAsia="仿宋" w:cs="仿宋"/>
          <w:color w:val="auto"/>
          <w:sz w:val="32"/>
          <w:szCs w:val="32"/>
        </w:rPr>
        <w:t>整治力度。</w:t>
      </w:r>
    </w:p>
    <w:p w14:paraId="54A93D88">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rPr>
        <w:t>3</w:t>
      </w:r>
      <w:r>
        <w:rPr>
          <w:rFonts w:ascii="仿宋" w:hAnsi="仿宋" w:eastAsia="仿宋" w:cs="仿宋"/>
          <w:b/>
          <w:bCs/>
          <w:color w:val="auto"/>
          <w:sz w:val="32"/>
          <w:szCs w:val="32"/>
        </w:rPr>
        <w:t>.制订</w:t>
      </w:r>
      <w:r>
        <w:rPr>
          <w:rFonts w:hint="eastAsia" w:ascii="仿宋" w:hAnsi="仿宋" w:eastAsia="仿宋" w:cs="仿宋"/>
          <w:b/>
          <w:bCs/>
          <w:color w:val="auto"/>
          <w:sz w:val="32"/>
          <w:szCs w:val="32"/>
        </w:rPr>
        <w:t>完善白事</w:t>
      </w:r>
      <w:r>
        <w:rPr>
          <w:rFonts w:ascii="仿宋" w:hAnsi="仿宋" w:eastAsia="仿宋" w:cs="仿宋"/>
          <w:b/>
          <w:bCs/>
          <w:color w:val="auto"/>
          <w:sz w:val="32"/>
          <w:szCs w:val="32"/>
        </w:rPr>
        <w:t>报告制度。</w:t>
      </w:r>
      <w:r>
        <w:rPr>
          <w:rFonts w:ascii="仿宋" w:hAnsi="仿宋" w:eastAsia="仿宋" w:cs="仿宋"/>
          <w:color w:val="auto"/>
          <w:sz w:val="32"/>
          <w:szCs w:val="32"/>
        </w:rPr>
        <w:t>民政局要牵头制订白事报告制度</w:t>
      </w:r>
      <w:r>
        <w:rPr>
          <w:rFonts w:hint="eastAsia" w:ascii="仿宋" w:hAnsi="仿宋" w:eastAsia="仿宋" w:cs="仿宋"/>
          <w:color w:val="auto"/>
          <w:sz w:val="32"/>
          <w:szCs w:val="32"/>
        </w:rPr>
        <w:t>，全县</w:t>
      </w:r>
      <w:r>
        <w:rPr>
          <w:rFonts w:ascii="仿宋" w:hAnsi="仿宋" w:eastAsia="仿宋" w:cs="仿宋"/>
          <w:color w:val="auto"/>
          <w:sz w:val="32"/>
          <w:szCs w:val="32"/>
        </w:rPr>
        <w:t>各单位要</w:t>
      </w:r>
      <w:r>
        <w:rPr>
          <w:rFonts w:hint="eastAsia" w:ascii="仿宋" w:hAnsi="仿宋" w:eastAsia="仿宋" w:cs="仿宋"/>
          <w:color w:val="auto"/>
          <w:sz w:val="32"/>
          <w:szCs w:val="32"/>
        </w:rPr>
        <w:t>负责将本单位干部职工死亡信息（含集中治丧情况）在第一时间报所在乡镇、村（社区）；</w:t>
      </w:r>
      <w:r>
        <w:rPr>
          <w:rFonts w:ascii="仿宋" w:hAnsi="仿宋" w:eastAsia="仿宋" w:cs="仿宋"/>
          <w:color w:val="auto"/>
          <w:sz w:val="32"/>
          <w:szCs w:val="32"/>
        </w:rPr>
        <w:t>各村（</w:t>
      </w:r>
      <w:r>
        <w:rPr>
          <w:rFonts w:hint="eastAsia" w:ascii="仿宋" w:hAnsi="仿宋" w:eastAsia="仿宋" w:cs="仿宋"/>
          <w:color w:val="auto"/>
          <w:sz w:val="32"/>
          <w:szCs w:val="32"/>
        </w:rPr>
        <w:t>社区</w:t>
      </w:r>
      <w:r>
        <w:rPr>
          <w:rFonts w:ascii="仿宋" w:hAnsi="仿宋" w:eastAsia="仿宋" w:cs="仿宋"/>
          <w:color w:val="auto"/>
          <w:sz w:val="32"/>
          <w:szCs w:val="32"/>
        </w:rPr>
        <w:t>）要发挥红白理事会和村（居）民自治作用，</w:t>
      </w:r>
      <w:r>
        <w:rPr>
          <w:rFonts w:hint="eastAsia" w:ascii="仿宋" w:hAnsi="仿宋" w:eastAsia="仿宋" w:cs="仿宋"/>
          <w:color w:val="auto"/>
          <w:sz w:val="32"/>
          <w:szCs w:val="32"/>
        </w:rPr>
        <w:t>完善</w:t>
      </w:r>
      <w:r>
        <w:rPr>
          <w:rFonts w:ascii="仿宋" w:hAnsi="仿宋" w:eastAsia="仿宋" w:cs="仿宋"/>
          <w:color w:val="auto"/>
          <w:sz w:val="32"/>
          <w:szCs w:val="32"/>
        </w:rPr>
        <w:t>丧事办理</w:t>
      </w:r>
      <w:r>
        <w:rPr>
          <w:rFonts w:hint="eastAsia" w:ascii="仿宋" w:hAnsi="仿宋" w:eastAsia="仿宋" w:cs="仿宋"/>
          <w:color w:val="auto"/>
          <w:sz w:val="32"/>
          <w:szCs w:val="32"/>
        </w:rPr>
        <w:t>（含集中治丧、文明治丧情况）事后</w:t>
      </w:r>
      <w:r>
        <w:rPr>
          <w:rFonts w:ascii="仿宋" w:hAnsi="仿宋" w:eastAsia="仿宋" w:cs="仿宋"/>
          <w:color w:val="auto"/>
          <w:sz w:val="32"/>
          <w:szCs w:val="32"/>
        </w:rPr>
        <w:t>报告制度</w:t>
      </w:r>
      <w:r>
        <w:rPr>
          <w:rFonts w:hint="eastAsia" w:ascii="仿宋" w:hAnsi="仿宋" w:eastAsia="仿宋" w:cs="仿宋"/>
          <w:color w:val="auto"/>
          <w:sz w:val="32"/>
          <w:szCs w:val="32"/>
        </w:rPr>
        <w:t>；各乡镇指定专人负责汇总辖区亡故人员并建立逝者（含集中治丧、文明治丧情况）台账，按月报县民政局；特别情况要及时一事一报。</w:t>
      </w:r>
    </w:p>
    <w:p w14:paraId="75690F72">
      <w:pPr>
        <w:keepNext w:val="0"/>
        <w:keepLines w:val="0"/>
        <w:pageBreakBefore w:val="0"/>
        <w:widowControl w:val="0"/>
        <w:kinsoku/>
        <w:wordWrap/>
        <w:overflowPunct/>
        <w:topLinePunct w:val="0"/>
        <w:autoSpaceDE/>
        <w:autoSpaceDN/>
        <w:bidi w:val="0"/>
        <w:adjustRightInd/>
        <w:snapToGrid/>
        <w:ind w:firstLine="640"/>
        <w:jc w:val="both"/>
        <w:textAlignment w:val="auto"/>
        <w:rPr>
          <w:rFonts w:ascii="楷体" w:hAnsi="楷体" w:eastAsia="楷体" w:cs="楷体"/>
          <w:color w:val="auto"/>
          <w:sz w:val="32"/>
          <w:szCs w:val="32"/>
          <w:u w:val="single"/>
        </w:rPr>
      </w:pPr>
      <w:r>
        <w:rPr>
          <w:rFonts w:hint="eastAsia" w:ascii="楷体" w:hAnsi="楷体" w:eastAsia="楷体" w:cs="楷体"/>
          <w:color w:val="auto"/>
          <w:sz w:val="32"/>
          <w:szCs w:val="32"/>
        </w:rPr>
        <w:t>（二）专项整治和集中治丧准备阶段</w:t>
      </w:r>
      <w:r>
        <w:rPr>
          <w:rFonts w:hint="eastAsia" w:ascii="楷体" w:hAnsi="楷体" w:eastAsia="楷体" w:cs="楷体"/>
          <w:color w:val="auto"/>
          <w:sz w:val="32"/>
          <w:szCs w:val="32"/>
          <w:u w:val="none"/>
        </w:rPr>
        <w:t>（202</w:t>
      </w:r>
      <w:r>
        <w:rPr>
          <w:rFonts w:hint="eastAsia" w:ascii="楷体" w:hAnsi="楷体" w:eastAsia="楷体" w:cs="楷体"/>
          <w:color w:val="auto"/>
          <w:sz w:val="32"/>
          <w:szCs w:val="32"/>
          <w:u w:val="none"/>
          <w:lang w:val="en-US" w:eastAsia="zh-CN"/>
        </w:rPr>
        <w:t>5</w:t>
      </w:r>
      <w:r>
        <w:rPr>
          <w:rFonts w:hint="eastAsia" w:ascii="楷体" w:hAnsi="楷体" w:eastAsia="楷体" w:cs="楷体"/>
          <w:color w:val="auto"/>
          <w:sz w:val="32"/>
          <w:szCs w:val="32"/>
          <w:u w:val="none"/>
        </w:rPr>
        <w:t>年10月至12月底）</w:t>
      </w:r>
    </w:p>
    <w:p w14:paraId="0D5FF4C0">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FF0000"/>
          <w:sz w:val="32"/>
          <w:szCs w:val="32"/>
          <w:u w:val="single"/>
        </w:rPr>
      </w:pPr>
      <w:r>
        <w:rPr>
          <w:rFonts w:hint="eastAsia" w:ascii="仿宋" w:hAnsi="仿宋" w:eastAsia="仿宋" w:cs="仿宋"/>
          <w:b/>
          <w:bCs/>
          <w:color w:val="auto"/>
          <w:sz w:val="32"/>
          <w:szCs w:val="32"/>
        </w:rPr>
        <w:t>1.</w:t>
      </w:r>
      <w:r>
        <w:rPr>
          <w:rFonts w:ascii="仿宋" w:hAnsi="仿宋" w:eastAsia="仿宋" w:cs="仿宋"/>
          <w:b/>
          <w:bCs/>
          <w:color w:val="auto"/>
          <w:sz w:val="32"/>
          <w:szCs w:val="32"/>
        </w:rPr>
        <w:t>开展殡葬行业市场专项整治。</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lang w:eastAsia="zh-CN"/>
        </w:rPr>
        <w:t>）</w:t>
      </w:r>
      <w:r>
        <w:rPr>
          <w:rFonts w:ascii="仿宋" w:hAnsi="仿宋" w:eastAsia="仿宋" w:cs="仿宋"/>
          <w:color w:val="auto"/>
          <w:sz w:val="32"/>
          <w:szCs w:val="32"/>
          <w:u w:val="none"/>
        </w:rPr>
        <w:t>由县市场监管局牵头，在全县范围内开展生产、销售不易降解祭祀用品专项执法检查。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lang w:eastAsia="zh-CN"/>
        </w:rPr>
        <w:t>）</w:t>
      </w:r>
      <w:r>
        <w:rPr>
          <w:rFonts w:ascii="仿宋" w:hAnsi="仿宋" w:eastAsia="仿宋" w:cs="仿宋"/>
          <w:color w:val="auto"/>
          <w:sz w:val="32"/>
          <w:szCs w:val="32"/>
          <w:u w:val="none"/>
          <w:lang w:val="en-US" w:eastAsia="zh-CN"/>
        </w:rPr>
        <w:t>由县市监</w:t>
      </w:r>
      <w:r>
        <w:rPr>
          <w:rFonts w:hint="eastAsia" w:ascii="仿宋" w:hAnsi="仿宋" w:eastAsia="仿宋" w:cs="仿宋"/>
          <w:color w:val="auto"/>
          <w:sz w:val="32"/>
          <w:szCs w:val="32"/>
          <w:u w:val="none"/>
          <w:lang w:val="en-US" w:eastAsia="zh-CN"/>
        </w:rPr>
        <w:t>部门牵头，生态环境、自然资源、林业、城管、公安、交运、民政等部门和各乡（镇）按照各自职责和属地原则对墓碑生产厂商开展集中执法清理，对无证照经营、污染环境、违规占用公共资源生产经营超标准墓碑的商家和从业人员进行查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lang w:eastAsia="zh-CN"/>
        </w:rPr>
        <w:t>）</w:t>
      </w:r>
      <w:r>
        <w:rPr>
          <w:rFonts w:ascii="仿宋" w:hAnsi="仿宋" w:eastAsia="仿宋" w:cs="仿宋"/>
          <w:color w:val="auto"/>
          <w:sz w:val="32"/>
          <w:szCs w:val="32"/>
          <w:u w:val="none"/>
        </w:rPr>
        <w:t>各乡（镇）负责</w:t>
      </w:r>
      <w:r>
        <w:rPr>
          <w:rFonts w:hint="eastAsia" w:ascii="仿宋" w:hAnsi="仿宋" w:eastAsia="仿宋" w:cs="仿宋"/>
          <w:color w:val="auto"/>
          <w:sz w:val="32"/>
          <w:szCs w:val="32"/>
          <w:u w:val="none"/>
          <w:lang w:eastAsia="zh-CN"/>
        </w:rPr>
        <w:t>对辖区殡葬</w:t>
      </w:r>
      <w:r>
        <w:rPr>
          <w:rFonts w:ascii="仿宋" w:hAnsi="仿宋" w:eastAsia="仿宋" w:cs="仿宋"/>
          <w:color w:val="auto"/>
          <w:sz w:val="32"/>
          <w:szCs w:val="32"/>
          <w:u w:val="none"/>
        </w:rPr>
        <w:t>从业人员开展</w:t>
      </w:r>
      <w:r>
        <w:rPr>
          <w:rFonts w:hint="eastAsia" w:ascii="仿宋" w:hAnsi="仿宋" w:eastAsia="仿宋" w:cs="仿宋"/>
          <w:color w:val="auto"/>
          <w:sz w:val="32"/>
          <w:szCs w:val="32"/>
          <w:u w:val="none"/>
          <w:lang w:eastAsia="zh-CN"/>
        </w:rPr>
        <w:t>殡葬改革政策宣传和殡葬相关法规</w:t>
      </w:r>
      <w:r>
        <w:rPr>
          <w:rFonts w:ascii="仿宋" w:hAnsi="仿宋" w:eastAsia="仿宋" w:cs="仿宋"/>
          <w:color w:val="auto"/>
          <w:sz w:val="32"/>
          <w:szCs w:val="32"/>
          <w:u w:val="none"/>
        </w:rPr>
        <w:t>教育，引导其成为绿色文明殡葬的宣传者、倡导者。</w:t>
      </w:r>
    </w:p>
    <w:p w14:paraId="1DE99C1E">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strike/>
          <w:color w:val="auto"/>
          <w:sz w:val="32"/>
          <w:szCs w:val="32"/>
        </w:rPr>
      </w:pPr>
      <w:r>
        <w:rPr>
          <w:rFonts w:ascii="仿宋" w:hAnsi="仿宋" w:eastAsia="仿宋" w:cs="仿宋"/>
          <w:b/>
          <w:bCs/>
          <w:color w:val="auto"/>
          <w:sz w:val="32"/>
          <w:szCs w:val="32"/>
        </w:rPr>
        <w:t>2.开展“活人墓”及重点区域大墓、豪华墓和新增散葬坟墓专项整治。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ascii="仿宋" w:hAnsi="仿宋" w:eastAsia="仿宋" w:cs="仿宋"/>
          <w:color w:val="auto"/>
          <w:sz w:val="32"/>
          <w:szCs w:val="32"/>
        </w:rPr>
        <w:t>各乡（镇）</w:t>
      </w:r>
      <w:r>
        <w:rPr>
          <w:rFonts w:hint="eastAsia" w:ascii="仿宋" w:hAnsi="仿宋" w:eastAsia="仿宋" w:cs="仿宋"/>
          <w:color w:val="auto"/>
          <w:sz w:val="32"/>
          <w:szCs w:val="32"/>
        </w:rPr>
        <w:t>完成</w:t>
      </w:r>
      <w:r>
        <w:rPr>
          <w:rFonts w:ascii="仿宋" w:hAnsi="仿宋" w:eastAsia="仿宋" w:cs="仿宋"/>
          <w:color w:val="auto"/>
          <w:sz w:val="32"/>
          <w:szCs w:val="32"/>
        </w:rPr>
        <w:t>辖区范围内的“活人墓”及重点区域大墓、豪华墓和新增散葬坟墓</w:t>
      </w:r>
      <w:r>
        <w:rPr>
          <w:rFonts w:hint="eastAsia" w:ascii="仿宋" w:hAnsi="仿宋" w:eastAsia="仿宋" w:cs="仿宋"/>
          <w:color w:val="auto"/>
          <w:sz w:val="32"/>
          <w:szCs w:val="32"/>
        </w:rPr>
        <w:t>排查并建立台账；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县民政局负责经营性公墓大墓、豪华墓的排查并建立台账。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建立联合执法机制，</w:t>
      </w:r>
      <w:r>
        <w:rPr>
          <w:rFonts w:ascii="仿宋" w:hAnsi="仿宋" w:eastAsia="仿宋" w:cs="仿宋"/>
          <w:color w:val="auto"/>
          <w:sz w:val="32"/>
          <w:szCs w:val="32"/>
        </w:rPr>
        <w:t>坚持以集中整治超常规工作举措</w:t>
      </w:r>
      <w:r>
        <w:rPr>
          <w:rFonts w:hint="eastAsia" w:ascii="仿宋" w:hAnsi="仿宋" w:eastAsia="仿宋" w:cs="仿宋"/>
          <w:color w:val="auto"/>
          <w:sz w:val="32"/>
          <w:szCs w:val="32"/>
        </w:rPr>
        <w:t>，</w:t>
      </w:r>
      <w:r>
        <w:rPr>
          <w:rFonts w:ascii="仿宋" w:hAnsi="仿宋" w:eastAsia="仿宋" w:cs="仿宋"/>
          <w:color w:val="auto"/>
          <w:sz w:val="32"/>
          <w:szCs w:val="32"/>
        </w:rPr>
        <w:t>持续推进排查整治</w:t>
      </w:r>
      <w:r>
        <w:rPr>
          <w:rFonts w:hint="eastAsia" w:ascii="仿宋" w:hAnsi="仿宋" w:eastAsia="仿宋" w:cs="仿宋"/>
          <w:color w:val="auto"/>
          <w:sz w:val="32"/>
          <w:szCs w:val="32"/>
        </w:rPr>
        <w:t>，由属地负责，加大执法力度，散乱“活人墓”一律拆除，重点区域大墓、豪华墓和新增散葬坟墓分类施策，采取“遮、改、拆、迁”等方式进行整改。</w:t>
      </w:r>
    </w:p>
    <w:p w14:paraId="15C74114">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rPr>
        <w:t>3.推进重点问题整改。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依法对殡仪馆（青山陵园）违规用地问题进行处理。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完成殡仪馆（青山陵园）回购工作，并由中寰集团运营。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落实城乡公益性公墓管理费政府定价，并纳入财政管理。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加强临终关怀管理，县总医院设立临终关怀车，做好医院临终关怀人员返乡单向运送，参照殡仪馆车辆接运收费标准落实五项减免政策。</w:t>
      </w:r>
    </w:p>
    <w:p w14:paraId="02E88406">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rPr>
        <w:t>4.实施中心城区集中治丧。</w:t>
      </w:r>
      <w:r>
        <w:rPr>
          <w:rFonts w:hint="eastAsia" w:ascii="仿宋_GB2312" w:hAnsi="宋体" w:eastAsia="仿宋_GB2312" w:cs="仿宋_GB2312"/>
          <w:color w:val="auto"/>
          <w:sz w:val="31"/>
          <w:szCs w:val="31"/>
          <w:shd w:val="clear" w:color="auto" w:fill="FFFFFF"/>
        </w:rPr>
        <w:t>（1）实施时间：2025年12月</w:t>
      </w:r>
      <w:r>
        <w:rPr>
          <w:rFonts w:hint="eastAsia" w:ascii="仿宋_GB2312" w:hAnsi="宋体" w:eastAsia="仿宋_GB2312" w:cs="仿宋_GB2312"/>
          <w:color w:val="auto"/>
          <w:sz w:val="31"/>
          <w:szCs w:val="31"/>
          <w:shd w:val="clear" w:color="auto" w:fill="FFFFFF"/>
          <w:lang w:val="en-US" w:eastAsia="zh-CN"/>
        </w:rPr>
        <w:t>31日</w:t>
      </w:r>
      <w:r>
        <w:rPr>
          <w:rFonts w:hint="eastAsia" w:ascii="仿宋_GB2312" w:hAnsi="宋体" w:eastAsia="仿宋_GB2312" w:cs="仿宋_GB2312"/>
          <w:color w:val="auto"/>
          <w:sz w:val="31"/>
          <w:szCs w:val="31"/>
          <w:shd w:val="clear" w:color="auto" w:fill="FFFFFF"/>
        </w:rPr>
        <w:t>。（2）实施范围：城市规划区内（</w:t>
      </w:r>
      <w:r>
        <w:rPr>
          <w:rFonts w:hint="eastAsia" w:ascii="仿宋_GB2312" w:hAnsi="宋体" w:eastAsia="仿宋_GB2312" w:cs="仿宋_GB2312"/>
          <w:color w:val="auto"/>
          <w:sz w:val="31"/>
          <w:szCs w:val="31"/>
          <w:shd w:val="clear" w:color="auto" w:fill="FFFFFF"/>
          <w:lang w:eastAsia="zh-CN"/>
        </w:rPr>
        <w:t>见附件，参照公安部门禁燃禁放区域</w:t>
      </w:r>
      <w:r>
        <w:rPr>
          <w:rFonts w:hint="eastAsia" w:ascii="仿宋_GB2312" w:hAnsi="宋体" w:eastAsia="仿宋_GB2312" w:cs="仿宋_GB2312"/>
          <w:color w:val="auto"/>
          <w:sz w:val="31"/>
          <w:szCs w:val="31"/>
          <w:shd w:val="clear" w:color="auto" w:fill="FFFFFF"/>
        </w:rPr>
        <w:t>）。（3）内</w:t>
      </w:r>
      <w:r>
        <w:rPr>
          <w:rFonts w:ascii="Calibri" w:hAnsi="Calibri" w:eastAsia="仿宋" w:cs="Calibri"/>
          <w:color w:val="auto"/>
          <w:sz w:val="32"/>
          <w:szCs w:val="32"/>
        </w:rPr>
        <w:t>容与措施</w:t>
      </w:r>
      <w:r>
        <w:rPr>
          <w:rFonts w:hint="eastAsia" w:ascii="Calibri" w:hAnsi="Calibri" w:eastAsia="仿宋" w:cs="Calibri"/>
          <w:color w:val="auto"/>
          <w:sz w:val="32"/>
          <w:szCs w:val="32"/>
        </w:rPr>
        <w:t>：</w:t>
      </w:r>
      <w:r>
        <w:rPr>
          <w:rFonts w:hint="eastAsia" w:ascii="仿宋" w:hAnsi="仿宋" w:eastAsia="仿宋" w:cs="仿宋"/>
          <w:color w:val="auto"/>
          <w:sz w:val="32"/>
          <w:szCs w:val="32"/>
          <w:shd w:val="clear" w:color="auto" w:fill="FFFFFF"/>
        </w:rPr>
        <w:t>①县殡</w:t>
      </w:r>
      <w:r>
        <w:rPr>
          <w:rFonts w:hint="eastAsia" w:ascii="仿宋_GB2312" w:hAnsi="宋体" w:eastAsia="仿宋_GB2312" w:cs="仿宋_GB2312"/>
          <w:color w:val="auto"/>
          <w:sz w:val="31"/>
          <w:szCs w:val="31"/>
          <w:shd w:val="clear" w:color="auto" w:fill="FFFFFF"/>
        </w:rPr>
        <w:t>仪馆为城区集中治丧的治丧、吊唁场所，</w:t>
      </w:r>
      <w:r>
        <w:rPr>
          <w:rFonts w:hint="eastAsia" w:ascii="仿宋_GB2312" w:hAnsi="宋体" w:eastAsia="仿宋_GB2312" w:cs="仿宋_GB2312"/>
          <w:color w:val="auto"/>
          <w:sz w:val="31"/>
          <w:szCs w:val="31"/>
          <w:shd w:val="clear" w:color="auto" w:fill="FFFFFF"/>
          <w:lang w:eastAsia="zh-CN"/>
        </w:rPr>
        <w:t>实行</w:t>
      </w:r>
      <w:r>
        <w:rPr>
          <w:rFonts w:hint="eastAsia" w:ascii="仿宋_GB2312" w:hAnsi="宋体" w:eastAsia="仿宋_GB2312" w:cs="仿宋_GB2312"/>
          <w:color w:val="auto"/>
          <w:sz w:val="31"/>
          <w:szCs w:val="31"/>
          <w:shd w:val="clear" w:color="auto" w:fill="FFFFFF"/>
        </w:rPr>
        <w:t>集中治丧的城市规划区范围内一律不得组织治丧活动。</w:t>
      </w:r>
      <w:r>
        <w:rPr>
          <w:rFonts w:hint="eastAsia" w:ascii="仿宋" w:hAnsi="仿宋" w:eastAsia="仿宋" w:cs="仿宋"/>
          <w:color w:val="auto"/>
          <w:sz w:val="32"/>
          <w:szCs w:val="32"/>
          <w:shd w:val="clear" w:color="auto" w:fill="FFFFFF"/>
        </w:rPr>
        <w:t>②严禁在规定范围内占用街道和居民小区等公共场所搭设户外灵棚（堂）、摆路祭、做道场（法事）、燃放鞭炮、游丧及丧事车辆抛撒纸钱。③大力倡导厚养薄葬，节俭办丧，在殡仪馆治丧时间</w:t>
      </w:r>
      <w:r>
        <w:rPr>
          <w:rFonts w:hint="eastAsia" w:ascii="仿宋" w:hAnsi="仿宋" w:eastAsia="仿宋" w:cs="仿宋"/>
          <w:color w:val="auto"/>
          <w:sz w:val="32"/>
          <w:szCs w:val="32"/>
        </w:rPr>
        <w:t>原则上不超过3天，特殊情况下经属地乡镇（村社区）批准亦不得超过5天；</w:t>
      </w:r>
      <w:r>
        <w:rPr>
          <w:rFonts w:hint="eastAsia" w:ascii="仿宋" w:hAnsi="仿宋" w:eastAsia="仿宋" w:cs="仿宋"/>
          <w:color w:val="auto"/>
          <w:sz w:val="32"/>
          <w:szCs w:val="32"/>
          <w:shd w:val="clear" w:color="auto" w:fill="FFFFFF"/>
        </w:rPr>
        <w:t>提倡简化仪式、限制规模、文明节俭的治丧方式，反对搞封建迷信等扰民行为。④集中治丧实行以基本殡葬服务为主体，选择性殡葬服务为补充的服务方式。基本服务由发改部门采取政府定价方式确定，选择性殡葬服务由殡仪馆通过组织社会化服务方式提供并公示，由群众自主选择。</w:t>
      </w:r>
      <w:r>
        <w:rPr>
          <w:rFonts w:ascii="仿宋" w:hAnsi="仿宋" w:eastAsia="仿宋" w:cs="仿宋"/>
          <w:color w:val="auto"/>
          <w:sz w:val="32"/>
          <w:szCs w:val="32"/>
          <w:shd w:val="clear" w:color="auto" w:fill="FFFFFF"/>
        </w:rPr>
        <w:t>⑤</w:t>
      </w:r>
      <w:r>
        <w:rPr>
          <w:rFonts w:hint="eastAsia" w:ascii="仿宋" w:hAnsi="仿宋" w:eastAsia="仿宋" w:cs="仿宋"/>
          <w:color w:val="auto"/>
          <w:sz w:val="32"/>
          <w:szCs w:val="32"/>
          <w:shd w:val="clear" w:color="auto" w:fill="FFFFFF"/>
        </w:rPr>
        <w:t>在县殡仪馆办理遗体火化和守灵期间必须遵守相关规定，禁止使用扩音设备或高声喧哗；禁止燃放烟花爆竹；禁止随意焚烧丧葬用品；遵守殡仪馆的相关制度规定。</w:t>
      </w:r>
    </w:p>
    <w:p w14:paraId="56E5826F">
      <w:pPr>
        <w:keepNext w:val="0"/>
        <w:keepLines w:val="0"/>
        <w:pageBreakBefore w:val="0"/>
        <w:widowControl w:val="0"/>
        <w:kinsoku/>
        <w:wordWrap/>
        <w:overflowPunct/>
        <w:topLinePunct w:val="0"/>
        <w:autoSpaceDE/>
        <w:autoSpaceDN/>
        <w:bidi w:val="0"/>
        <w:adjustRightInd/>
        <w:snapToGrid/>
        <w:ind w:firstLine="640"/>
        <w:jc w:val="both"/>
        <w:textAlignment w:val="auto"/>
        <w:rPr>
          <w:rFonts w:ascii="楷体" w:hAnsi="楷体" w:eastAsia="楷体" w:cs="楷体"/>
          <w:color w:val="auto"/>
          <w:sz w:val="32"/>
          <w:szCs w:val="32"/>
        </w:rPr>
      </w:pPr>
      <w:r>
        <w:rPr>
          <w:rFonts w:hint="eastAsia" w:ascii="楷体" w:hAnsi="楷体" w:eastAsia="楷体" w:cs="楷体"/>
          <w:color w:val="auto"/>
          <w:sz w:val="32"/>
          <w:szCs w:val="32"/>
        </w:rPr>
        <w:t>（三）建立长效机制（2026年1月至2026年底前）</w:t>
      </w:r>
    </w:p>
    <w:p w14:paraId="4E88C607">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持续推动殡葬领域长效整治，</w:t>
      </w:r>
      <w:r>
        <w:rPr>
          <w:rFonts w:ascii="仿宋" w:hAnsi="仿宋" w:eastAsia="仿宋" w:cs="仿宋"/>
          <w:color w:val="auto"/>
          <w:sz w:val="32"/>
          <w:szCs w:val="32"/>
        </w:rPr>
        <w:t>将</w:t>
      </w:r>
      <w:r>
        <w:rPr>
          <w:rFonts w:hint="eastAsia" w:ascii="仿宋" w:hAnsi="仿宋" w:eastAsia="仿宋" w:cs="仿宋"/>
          <w:color w:val="auto"/>
          <w:sz w:val="32"/>
          <w:szCs w:val="32"/>
        </w:rPr>
        <w:t>深化</w:t>
      </w:r>
      <w:r>
        <w:rPr>
          <w:rFonts w:ascii="仿宋" w:hAnsi="仿宋" w:eastAsia="仿宋" w:cs="仿宋"/>
          <w:color w:val="auto"/>
          <w:sz w:val="32"/>
          <w:szCs w:val="32"/>
        </w:rPr>
        <w:t>殡葬改革工作纳入常态化管理，</w:t>
      </w:r>
      <w:r>
        <w:rPr>
          <w:rFonts w:hint="eastAsia" w:ascii="仿宋" w:hAnsi="仿宋" w:eastAsia="仿宋" w:cs="仿宋"/>
          <w:color w:val="auto"/>
          <w:sz w:val="32"/>
          <w:szCs w:val="32"/>
        </w:rPr>
        <w:t>聚焦群众办丧全流程服务，围绕临终关怀、治丧办丧、殡仪服务、安葬管理、文明祭扫等环节，全面推进移风易俗，加强建章立制，制订行业服务标准，推进殡葬领域服务和管理规范化。持续深入推进殡葬服务机构行风建设，通过规范服务行为、创新监管手段、畅通举报渠道等方式，树立行业形象，促进行业自律，更好满足人民群众殡葬服务需求。</w:t>
      </w:r>
    </w:p>
    <w:p w14:paraId="375A7D6F">
      <w:pPr>
        <w:keepNext w:val="0"/>
        <w:keepLines w:val="0"/>
        <w:pageBreakBefore w:val="0"/>
        <w:widowControl w:val="0"/>
        <w:kinsoku/>
        <w:wordWrap/>
        <w:overflowPunct/>
        <w:topLinePunct w:val="0"/>
        <w:autoSpaceDE/>
        <w:autoSpaceDN/>
        <w:bidi w:val="0"/>
        <w:adjustRightInd/>
        <w:snapToGrid/>
        <w:ind w:firstLine="64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四、部门职责</w:t>
      </w:r>
    </w:p>
    <w:p w14:paraId="7AA2B48D">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_GB2312" w:hAnsi="宋体" w:eastAsia="仿宋_GB2312" w:cs="仿宋_GB2312"/>
          <w:color w:val="auto"/>
          <w:sz w:val="31"/>
          <w:szCs w:val="31"/>
          <w:shd w:val="clear" w:color="auto" w:fill="FFFFFF"/>
        </w:rPr>
      </w:pPr>
      <w:r>
        <w:rPr>
          <w:rFonts w:ascii="仿宋_GB2312" w:hAnsi="宋体" w:eastAsia="仿宋_GB2312" w:cs="仿宋_GB2312"/>
          <w:b/>
          <w:bCs/>
          <w:color w:val="auto"/>
          <w:sz w:val="31"/>
          <w:szCs w:val="31"/>
          <w:shd w:val="clear" w:color="auto" w:fill="FFFFFF"/>
        </w:rPr>
        <w:t>纪检监察部门</w:t>
      </w:r>
      <w:r>
        <w:rPr>
          <w:rFonts w:hint="eastAsia" w:ascii="仿宋_GB2312" w:hAnsi="宋体" w:eastAsia="仿宋_GB2312" w:cs="仿宋_GB2312"/>
          <w:b/>
          <w:bCs/>
          <w:color w:val="auto"/>
          <w:sz w:val="31"/>
          <w:szCs w:val="31"/>
          <w:shd w:val="clear" w:color="auto" w:fill="FFFFFF"/>
        </w:rPr>
        <w:t>：</w:t>
      </w:r>
      <w:r>
        <w:rPr>
          <w:rFonts w:hint="eastAsia" w:ascii="仿宋" w:hAnsi="仿宋" w:eastAsia="仿宋" w:cs="仿宋"/>
          <w:color w:val="auto"/>
          <w:sz w:val="32"/>
          <w:szCs w:val="32"/>
        </w:rPr>
        <w:t>负责</w:t>
      </w:r>
      <w:r>
        <w:rPr>
          <w:rFonts w:hint="eastAsia" w:ascii="仿宋_GB2312" w:hAnsi="宋体" w:eastAsia="仿宋_GB2312" w:cs="仿宋_GB2312"/>
          <w:color w:val="auto"/>
          <w:sz w:val="31"/>
          <w:szCs w:val="31"/>
          <w:shd w:val="clear" w:color="auto" w:fill="FFFFFF"/>
        </w:rPr>
        <w:t>加强殡葬领域执纪问责，</w:t>
      </w:r>
      <w:r>
        <w:rPr>
          <w:rFonts w:hint="eastAsia" w:ascii="仿宋" w:hAnsi="仿宋" w:eastAsia="仿宋" w:cs="仿宋"/>
          <w:color w:val="auto"/>
          <w:sz w:val="32"/>
          <w:szCs w:val="32"/>
        </w:rPr>
        <w:t>查处党员干部和公职人员的失职渎职、弄虚作假和不担当、不作为等违法违纪行为。</w:t>
      </w:r>
    </w:p>
    <w:p w14:paraId="38BDB919">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_GB2312" w:hAnsi="宋体" w:eastAsia="仿宋_GB2312" w:cs="仿宋_GB2312"/>
          <w:color w:val="auto"/>
          <w:sz w:val="31"/>
          <w:szCs w:val="31"/>
          <w:shd w:val="clear" w:color="auto" w:fill="FFFFFF"/>
        </w:rPr>
      </w:pPr>
      <w:r>
        <w:rPr>
          <w:rFonts w:ascii="仿宋_GB2312" w:hAnsi="宋体" w:eastAsia="仿宋_GB2312" w:cs="仿宋_GB2312"/>
          <w:b/>
          <w:bCs/>
          <w:color w:val="auto"/>
          <w:sz w:val="31"/>
          <w:szCs w:val="31"/>
          <w:shd w:val="clear" w:color="auto" w:fill="FFFFFF"/>
        </w:rPr>
        <w:t>宣传部门</w:t>
      </w:r>
      <w:r>
        <w:rPr>
          <w:rFonts w:hint="eastAsia" w:ascii="仿宋_GB2312" w:hAnsi="宋体" w:eastAsia="仿宋_GB2312" w:cs="仿宋_GB2312"/>
          <w:b/>
          <w:bCs/>
          <w:color w:val="auto"/>
          <w:sz w:val="31"/>
          <w:szCs w:val="31"/>
          <w:shd w:val="clear" w:color="auto" w:fill="FFFFFF"/>
        </w:rPr>
        <w:t>：</w:t>
      </w:r>
      <w:r>
        <w:rPr>
          <w:rFonts w:hint="eastAsia" w:ascii="仿宋" w:hAnsi="仿宋" w:eastAsia="仿宋" w:cs="仿宋"/>
          <w:color w:val="auto"/>
          <w:sz w:val="32"/>
          <w:szCs w:val="32"/>
        </w:rPr>
        <w:t>负责牵头抓好宣传舆论引导工作，</w:t>
      </w:r>
      <w:r>
        <w:rPr>
          <w:rFonts w:ascii="仿宋_GB2312" w:hAnsi="宋体" w:eastAsia="仿宋_GB2312" w:cs="仿宋_GB2312"/>
          <w:color w:val="auto"/>
          <w:sz w:val="31"/>
          <w:szCs w:val="31"/>
          <w:shd w:val="clear" w:color="auto" w:fill="FFFFFF"/>
        </w:rPr>
        <w:t>发布相关</w:t>
      </w:r>
      <w:r>
        <w:rPr>
          <w:rFonts w:hint="eastAsia" w:ascii="仿宋_GB2312" w:hAnsi="宋体" w:eastAsia="仿宋_GB2312" w:cs="仿宋_GB2312"/>
          <w:color w:val="auto"/>
          <w:sz w:val="31"/>
          <w:szCs w:val="31"/>
          <w:shd w:val="clear" w:color="auto" w:fill="FFFFFF"/>
        </w:rPr>
        <w:t>核心城区</w:t>
      </w:r>
      <w:r>
        <w:rPr>
          <w:rFonts w:ascii="仿宋_GB2312" w:hAnsi="宋体" w:eastAsia="仿宋_GB2312" w:cs="仿宋_GB2312"/>
          <w:color w:val="auto"/>
          <w:sz w:val="31"/>
          <w:szCs w:val="31"/>
          <w:shd w:val="clear" w:color="auto" w:fill="FFFFFF"/>
        </w:rPr>
        <w:t>集中治丧</w:t>
      </w:r>
      <w:r>
        <w:rPr>
          <w:rFonts w:hint="eastAsia" w:ascii="仿宋_GB2312" w:hAnsi="宋体" w:eastAsia="仿宋_GB2312" w:cs="仿宋_GB2312"/>
          <w:color w:val="auto"/>
          <w:sz w:val="31"/>
          <w:szCs w:val="31"/>
          <w:shd w:val="clear" w:color="auto" w:fill="FFFFFF"/>
          <w:lang w:eastAsia="zh-CN"/>
        </w:rPr>
        <w:t>工作</w:t>
      </w:r>
      <w:r>
        <w:rPr>
          <w:rFonts w:ascii="仿宋_GB2312" w:hAnsi="宋体" w:eastAsia="仿宋_GB2312" w:cs="仿宋_GB2312"/>
          <w:color w:val="auto"/>
          <w:sz w:val="31"/>
          <w:szCs w:val="31"/>
          <w:shd w:val="clear" w:color="auto" w:fill="FFFFFF"/>
        </w:rPr>
        <w:t>通告</w:t>
      </w:r>
      <w:r>
        <w:rPr>
          <w:rFonts w:hint="eastAsia" w:ascii="仿宋_GB2312" w:hAnsi="宋体" w:eastAsia="仿宋_GB2312" w:cs="仿宋_GB2312"/>
          <w:color w:val="auto"/>
          <w:sz w:val="31"/>
          <w:szCs w:val="31"/>
          <w:shd w:val="clear" w:color="auto" w:fill="FFFFFF"/>
        </w:rPr>
        <w:t>，做好典型宣传，</w:t>
      </w:r>
      <w:r>
        <w:rPr>
          <w:rFonts w:hint="eastAsia" w:ascii="仿宋" w:hAnsi="仿宋" w:eastAsia="仿宋" w:cs="仿宋"/>
          <w:color w:val="auto"/>
          <w:sz w:val="32"/>
          <w:szCs w:val="32"/>
        </w:rPr>
        <w:t>将殡葬移风易俗工作纳入文明创建等活动内容。</w:t>
      </w:r>
    </w:p>
    <w:p w14:paraId="4DB237DD">
      <w:pPr>
        <w:keepNext w:val="0"/>
        <w:keepLines w:val="0"/>
        <w:pageBreakBefore w:val="0"/>
        <w:widowControl w:val="0"/>
        <w:kinsoku/>
        <w:wordWrap/>
        <w:overflowPunct/>
        <w:topLinePunct w:val="0"/>
        <w:autoSpaceDE/>
        <w:autoSpaceDN/>
        <w:bidi w:val="0"/>
        <w:adjustRightInd/>
        <w:snapToGrid/>
        <w:ind w:firstLine="620"/>
        <w:jc w:val="both"/>
        <w:textAlignment w:val="auto"/>
        <w:rPr>
          <w:rFonts w:hint="eastAsia" w:ascii="仿宋" w:hAnsi="仿宋" w:eastAsia="仿宋" w:cs="仿宋"/>
          <w:color w:val="auto"/>
          <w:sz w:val="32"/>
          <w:szCs w:val="32"/>
        </w:rPr>
      </w:pPr>
      <w:r>
        <w:rPr>
          <w:rFonts w:ascii="仿宋_GB2312" w:hAnsi="宋体" w:eastAsia="仿宋_GB2312" w:cs="仿宋_GB2312"/>
          <w:b/>
          <w:bCs/>
          <w:color w:val="auto"/>
          <w:sz w:val="31"/>
          <w:szCs w:val="31"/>
          <w:shd w:val="clear" w:color="auto" w:fill="FFFFFF"/>
        </w:rPr>
        <w:t>民政部门</w:t>
      </w:r>
      <w:r>
        <w:rPr>
          <w:rFonts w:hint="eastAsia" w:ascii="仿宋_GB2312" w:hAnsi="宋体" w:eastAsia="仿宋_GB2312" w:cs="仿宋_GB2312"/>
          <w:b/>
          <w:bCs/>
          <w:color w:val="auto"/>
          <w:sz w:val="31"/>
          <w:szCs w:val="31"/>
          <w:shd w:val="clear" w:color="auto" w:fill="FFFFFF"/>
        </w:rPr>
        <w:t>：</w:t>
      </w:r>
      <w:r>
        <w:rPr>
          <w:rFonts w:hint="eastAsia" w:ascii="仿宋" w:hAnsi="仿宋" w:eastAsia="仿宋" w:cs="仿宋"/>
          <w:color w:val="auto"/>
          <w:sz w:val="32"/>
          <w:szCs w:val="32"/>
          <w:shd w:val="clear" w:color="auto" w:fill="FFFFFF"/>
        </w:rPr>
        <w:t>负责牵头殡葬领域深化改革工作，完善</w:t>
      </w:r>
      <w:r>
        <w:rPr>
          <w:rFonts w:hint="eastAsia" w:ascii="仿宋" w:hAnsi="仿宋" w:eastAsia="仿宋" w:cs="仿宋"/>
          <w:color w:val="auto"/>
          <w:sz w:val="32"/>
          <w:szCs w:val="32"/>
        </w:rPr>
        <w:t>殡葬服务设施建设和提升改造</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rPr>
        <w:t>协调殡葬综合改革各项事宜，制定殡葬领域建设管理相关政策，完成殡仪馆（青山陵园）回购谈判</w:t>
      </w:r>
      <w:r>
        <w:rPr>
          <w:rFonts w:hint="eastAsia" w:ascii="仿宋" w:hAnsi="仿宋" w:eastAsia="仿宋" w:cs="仿宋"/>
          <w:color w:val="auto"/>
          <w:sz w:val="32"/>
          <w:szCs w:val="32"/>
          <w:lang w:eastAsia="zh-CN"/>
        </w:rPr>
        <w:t>，协同办理收购部分产权</w:t>
      </w:r>
      <w:r>
        <w:rPr>
          <w:rFonts w:hint="eastAsia" w:ascii="仿宋" w:hAnsi="仿宋" w:eastAsia="仿宋" w:cs="仿宋"/>
          <w:color w:val="auto"/>
          <w:sz w:val="32"/>
          <w:szCs w:val="32"/>
        </w:rPr>
        <w:t>，加强后续运营队伍和制度建设</w:t>
      </w:r>
      <w:r>
        <w:rPr>
          <w:rFonts w:hint="eastAsia" w:ascii="仿宋" w:hAnsi="仿宋" w:eastAsia="仿宋" w:cs="仿宋"/>
          <w:color w:val="auto"/>
          <w:sz w:val="32"/>
          <w:szCs w:val="32"/>
          <w:lang w:eastAsia="zh-CN"/>
        </w:rPr>
        <w:t>。</w:t>
      </w:r>
    </w:p>
    <w:p w14:paraId="1C964EB5">
      <w:pPr>
        <w:keepNext w:val="0"/>
        <w:keepLines w:val="0"/>
        <w:pageBreakBefore w:val="0"/>
        <w:widowControl w:val="0"/>
        <w:kinsoku/>
        <w:wordWrap/>
        <w:overflowPunct/>
        <w:topLinePunct w:val="0"/>
        <w:autoSpaceDE/>
        <w:autoSpaceDN/>
        <w:bidi w:val="0"/>
        <w:adjustRightInd/>
        <w:snapToGrid/>
        <w:ind w:firstLine="62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公安部门：</w:t>
      </w:r>
      <w:r>
        <w:rPr>
          <w:rFonts w:hint="eastAsia" w:ascii="仿宋" w:hAnsi="仿宋" w:eastAsia="仿宋" w:cs="仿宋"/>
          <w:color w:val="auto"/>
          <w:sz w:val="32"/>
          <w:szCs w:val="32"/>
          <w:shd w:val="clear" w:color="auto" w:fill="FFFFFF"/>
        </w:rPr>
        <w:t>负责加强涉案或意外亡故人员出具死亡证明管理；打击非法接运遗体行为；协助民政部门做好无人认领遗体处置；</w:t>
      </w:r>
      <w:r>
        <w:rPr>
          <w:rFonts w:hint="eastAsia" w:ascii="仿宋" w:hAnsi="仿宋" w:eastAsia="仿宋" w:cs="仿宋"/>
          <w:color w:val="auto"/>
          <w:sz w:val="32"/>
          <w:szCs w:val="32"/>
        </w:rPr>
        <w:t>加强治安保障，打击</w:t>
      </w:r>
      <w:r>
        <w:rPr>
          <w:rFonts w:hint="eastAsia" w:ascii="仿宋" w:hAnsi="仿宋" w:eastAsia="仿宋" w:cs="仿宋"/>
          <w:color w:val="auto"/>
          <w:sz w:val="32"/>
          <w:szCs w:val="32"/>
          <w:shd w:val="clear" w:color="auto" w:fill="FFFFFF"/>
        </w:rPr>
        <w:t>妨碍殡葬管理工作人员执行公务、聚众闹事辱骂殴打殡葬管理人员等</w:t>
      </w:r>
      <w:r>
        <w:rPr>
          <w:rFonts w:hint="eastAsia" w:ascii="仿宋" w:hAnsi="仿宋" w:eastAsia="仿宋" w:cs="仿宋"/>
          <w:color w:val="auto"/>
          <w:sz w:val="32"/>
          <w:szCs w:val="32"/>
        </w:rPr>
        <w:t>干扰破坏殡葬整治和改革工作的违法违规行为；</w:t>
      </w:r>
      <w:r>
        <w:rPr>
          <w:rFonts w:hint="eastAsia" w:ascii="仿宋" w:hAnsi="仿宋" w:eastAsia="仿宋" w:cs="仿宋"/>
          <w:color w:val="auto"/>
          <w:sz w:val="32"/>
          <w:szCs w:val="32"/>
          <w:shd w:val="clear" w:color="auto" w:fill="FFFFFF"/>
        </w:rPr>
        <w:t>对在集中治丧区域内</w:t>
      </w:r>
      <w:r>
        <w:rPr>
          <w:rFonts w:hint="eastAsia" w:ascii="仿宋" w:hAnsi="仿宋" w:eastAsia="仿宋" w:cs="仿宋"/>
          <w:color w:val="auto"/>
          <w:sz w:val="32"/>
          <w:szCs w:val="32"/>
        </w:rPr>
        <w:t>燃放烟花爆竹、</w:t>
      </w:r>
      <w:r>
        <w:rPr>
          <w:rFonts w:hint="eastAsia" w:ascii="仿宋" w:hAnsi="仿宋" w:eastAsia="仿宋" w:cs="仿宋"/>
          <w:color w:val="auto"/>
          <w:sz w:val="32"/>
          <w:szCs w:val="32"/>
          <w:shd w:val="clear" w:color="auto" w:fill="FFFFFF"/>
        </w:rPr>
        <w:t>占用机动车道停放车辆等违法行为，按规定予以制止和处罚。</w:t>
      </w:r>
    </w:p>
    <w:p w14:paraId="77521D26">
      <w:pPr>
        <w:keepNext w:val="0"/>
        <w:keepLines w:val="0"/>
        <w:pageBreakBefore w:val="0"/>
        <w:widowControl w:val="0"/>
        <w:numPr>
          <w:ilvl w:val="0"/>
          <w:numId w:val="0"/>
        </w:numPr>
        <w:tabs>
          <w:tab w:val="left" w:pos="312"/>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b/>
          <w:bCs/>
          <w:color w:val="auto"/>
          <w:sz w:val="32"/>
          <w:szCs w:val="32"/>
          <w:u w:val="none"/>
          <w:lang w:val="en-US" w:eastAsia="zh-CN"/>
        </w:rPr>
        <w:t>司法行政部门</w:t>
      </w:r>
      <w:r>
        <w:rPr>
          <w:rFonts w:hint="eastAsia" w:ascii="仿宋" w:hAnsi="仿宋" w:eastAsia="仿宋" w:cs="仿宋"/>
          <w:b/>
          <w:bCs/>
          <w:color w:val="auto"/>
          <w:sz w:val="32"/>
          <w:szCs w:val="32"/>
          <w:u w:val="none"/>
          <w:lang w:eastAsia="zh-CN"/>
        </w:rPr>
        <w:t>：</w:t>
      </w:r>
      <w:r>
        <w:rPr>
          <w:rFonts w:hint="eastAsia" w:ascii="仿宋" w:hAnsi="仿宋" w:eastAsia="仿宋" w:cs="仿宋"/>
          <w:color w:val="auto"/>
          <w:sz w:val="32"/>
          <w:szCs w:val="32"/>
          <w:shd w:val="clear" w:color="auto" w:fill="FFFFFF"/>
          <w:lang w:eastAsia="zh-CN"/>
        </w:rPr>
        <w:t>负责</w:t>
      </w:r>
      <w:r>
        <w:rPr>
          <w:rFonts w:hint="eastAsia" w:ascii="仿宋" w:hAnsi="仿宋" w:eastAsia="仿宋" w:cs="仿宋"/>
          <w:color w:val="auto"/>
          <w:sz w:val="32"/>
          <w:szCs w:val="32"/>
          <w:shd w:val="clear" w:color="auto" w:fill="FFFFFF"/>
          <w:lang w:val="en-US" w:eastAsia="zh-CN"/>
        </w:rPr>
        <w:t>对政府出台的殡葬改革规范性文件进行合法性审查，对殡葬领域的执法行为进行监督</w:t>
      </w:r>
      <w:r>
        <w:rPr>
          <w:rFonts w:hint="eastAsia" w:ascii="仿宋" w:hAnsi="仿宋" w:eastAsia="仿宋" w:cs="仿宋"/>
          <w:color w:val="auto"/>
          <w:sz w:val="32"/>
          <w:szCs w:val="32"/>
          <w:shd w:val="clear" w:color="auto" w:fill="FFFFFF"/>
          <w:lang w:eastAsia="zh-CN"/>
        </w:rPr>
        <w:t>。</w:t>
      </w:r>
    </w:p>
    <w:p w14:paraId="35E929A2">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发改部门：</w:t>
      </w:r>
      <w:r>
        <w:rPr>
          <w:rFonts w:hint="eastAsia" w:ascii="仿宋" w:hAnsi="仿宋" w:eastAsia="仿宋" w:cs="仿宋"/>
          <w:color w:val="auto"/>
          <w:sz w:val="32"/>
          <w:szCs w:val="32"/>
        </w:rPr>
        <w:t>负责将殡葬事业纳入发展规划，加大对殡葬设施建设项目的争取力度，协同民政部门确定殡葬服务清单，按规定制定殡葬服务价格。</w:t>
      </w:r>
    </w:p>
    <w:p w14:paraId="2BE706CA">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rPr>
        <w:t>自然资源和林业部门</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shd w:val="clear" w:color="auto" w:fill="FFFFFF"/>
        </w:rPr>
        <w:t>负责</w:t>
      </w:r>
      <w:r>
        <w:rPr>
          <w:rFonts w:hint="eastAsia" w:ascii="仿宋" w:hAnsi="仿宋" w:eastAsia="仿宋" w:cs="仿宋"/>
          <w:color w:val="auto"/>
          <w:sz w:val="32"/>
          <w:szCs w:val="32"/>
        </w:rPr>
        <w:t>依法处置县殡仪馆（青山陵园）涉及土地的历史遗留问题，保障纳入规划的殡葬设施用地需求，纠正和查处违法占地建设殡葬设施、违法占用耕地林地建坟等行为。</w:t>
      </w:r>
    </w:p>
    <w:p w14:paraId="125D034B">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财政部门：</w:t>
      </w:r>
      <w:r>
        <w:rPr>
          <w:rFonts w:hint="eastAsia" w:ascii="仿宋" w:hAnsi="仿宋" w:eastAsia="仿宋" w:cs="仿宋"/>
          <w:color w:val="auto"/>
          <w:sz w:val="32"/>
          <w:szCs w:val="32"/>
          <w:shd w:val="clear" w:color="auto" w:fill="FFFFFF"/>
        </w:rPr>
        <w:t>负责</w:t>
      </w:r>
      <w:r>
        <w:rPr>
          <w:rFonts w:hint="eastAsia" w:ascii="仿宋" w:hAnsi="仿宋" w:eastAsia="仿宋" w:cs="仿宋"/>
          <w:color w:val="auto"/>
          <w:sz w:val="32"/>
          <w:szCs w:val="32"/>
        </w:rPr>
        <w:t>加强殡葬改革各项资金保障，</w:t>
      </w:r>
      <w:r>
        <w:rPr>
          <w:rFonts w:hint="eastAsia" w:ascii="仿宋" w:hAnsi="仿宋" w:eastAsia="仿宋" w:cs="仿宋"/>
          <w:color w:val="auto"/>
          <w:sz w:val="32"/>
          <w:szCs w:val="32"/>
          <w:shd w:val="clear" w:color="auto" w:fill="FFFFFF"/>
        </w:rPr>
        <w:t>将项目建设、惠民殡葬保障等资金纳入财政预算。对殡葬服务政府定价收费及资金加强监管和指导。</w:t>
      </w:r>
    </w:p>
    <w:p w14:paraId="5A4B6700">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shd w:val="clear" w:color="auto" w:fill="FFFFFF"/>
        </w:rPr>
        <w:t>市监部门：</w:t>
      </w:r>
      <w:r>
        <w:rPr>
          <w:rFonts w:hint="eastAsia" w:ascii="仿宋" w:hAnsi="仿宋" w:eastAsia="仿宋" w:cs="仿宋"/>
          <w:color w:val="auto"/>
          <w:sz w:val="32"/>
          <w:szCs w:val="32"/>
          <w:shd w:val="clear" w:color="auto" w:fill="FFFFFF"/>
        </w:rPr>
        <w:t>负责加强殡葬企业、中介机构和个体商户的经营管理，依法查处无证经营、</w:t>
      </w:r>
      <w:r>
        <w:rPr>
          <w:rFonts w:hint="eastAsia" w:ascii="仿宋" w:hAnsi="仿宋" w:eastAsia="仿宋" w:cs="仿宋"/>
          <w:color w:val="auto"/>
          <w:sz w:val="32"/>
          <w:szCs w:val="32"/>
        </w:rPr>
        <w:t>制造、销售不符合国家标准的殡葬设备和封建迷信殉葬用品的违法行为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殡葬服务市场化收费情况的检查，依法查处殡葬领域多收费、超标准收费、价格欺诈、价格垄断等行为，以及提供殡葬服务及销售丧葬用品不按规定明码标价、强制服务收费和不按规定提供服务滥收费等行为；</w:t>
      </w:r>
      <w:r>
        <w:rPr>
          <w:rFonts w:hint="eastAsia" w:ascii="仿宋" w:hAnsi="仿宋" w:eastAsia="仿宋" w:cs="仿宋"/>
          <w:color w:val="auto"/>
          <w:sz w:val="32"/>
          <w:szCs w:val="32"/>
          <w:shd w:val="clear" w:color="auto" w:fill="FFFFFF"/>
        </w:rPr>
        <w:t>对</w:t>
      </w:r>
      <w:r>
        <w:rPr>
          <w:rFonts w:hint="eastAsia" w:ascii="仿宋" w:hAnsi="仿宋" w:eastAsia="仿宋" w:cs="仿宋"/>
          <w:color w:val="auto"/>
          <w:sz w:val="32"/>
          <w:szCs w:val="32"/>
        </w:rPr>
        <w:t>实施集中治丧后仍在中心城区提供冰棺出租等服务的商户依法处置。</w:t>
      </w:r>
    </w:p>
    <w:p w14:paraId="0D51B112">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生态环境部门：</w:t>
      </w:r>
      <w:r>
        <w:rPr>
          <w:rFonts w:hint="eastAsia" w:ascii="仿宋" w:hAnsi="仿宋" w:eastAsia="仿宋" w:cs="仿宋"/>
          <w:color w:val="auto"/>
          <w:sz w:val="32"/>
          <w:szCs w:val="32"/>
          <w:shd w:val="clear" w:color="auto" w:fill="FFFFFF"/>
        </w:rPr>
        <w:t>负责对违反深化殡葬改革工作和私自在集中治丧区域内治丧造成环境污染的行为进行制止和依法处置。</w:t>
      </w:r>
    </w:p>
    <w:p w14:paraId="2FC31C06">
      <w:pPr>
        <w:keepNext w:val="0"/>
        <w:keepLines w:val="0"/>
        <w:pageBreakBefore w:val="0"/>
        <w:widowControl w:val="0"/>
        <w:kinsoku/>
        <w:wordWrap/>
        <w:overflowPunct/>
        <w:topLinePunct w:val="0"/>
        <w:autoSpaceDE/>
        <w:autoSpaceDN/>
        <w:bidi w:val="0"/>
        <w:adjustRightInd/>
        <w:snapToGrid/>
        <w:ind w:firstLine="620"/>
        <w:jc w:val="both"/>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b/>
          <w:bCs/>
          <w:color w:val="auto"/>
          <w:sz w:val="32"/>
          <w:szCs w:val="32"/>
          <w:shd w:val="clear" w:color="auto" w:fill="FFFFFF"/>
        </w:rPr>
        <w:t>人社部门：</w:t>
      </w:r>
      <w:r>
        <w:rPr>
          <w:rFonts w:hint="eastAsia" w:ascii="仿宋" w:hAnsi="仿宋" w:eastAsia="仿宋" w:cs="仿宋"/>
          <w:color w:val="auto"/>
          <w:sz w:val="32"/>
          <w:szCs w:val="32"/>
          <w:shd w:val="clear" w:color="auto" w:fill="FFFFFF"/>
        </w:rPr>
        <w:t>负责</w:t>
      </w:r>
      <w:r>
        <w:rPr>
          <w:rFonts w:hint="eastAsia" w:ascii="仿宋" w:hAnsi="仿宋" w:eastAsia="仿宋" w:cs="仿宋"/>
          <w:color w:val="auto"/>
          <w:sz w:val="32"/>
          <w:szCs w:val="32"/>
          <w:shd w:val="clear" w:color="auto" w:fill="FFFFFF"/>
          <w:lang w:eastAsia="zh-CN"/>
        </w:rPr>
        <w:t>协</w:t>
      </w:r>
      <w:r>
        <w:rPr>
          <w:rFonts w:hint="eastAsia" w:ascii="仿宋" w:hAnsi="仿宋" w:eastAsia="仿宋" w:cs="仿宋"/>
          <w:color w:val="auto"/>
          <w:sz w:val="32"/>
          <w:szCs w:val="32"/>
          <w:shd w:val="clear" w:color="auto" w:fill="FFFFFF"/>
        </w:rPr>
        <w:t>同民政部门建立</w:t>
      </w:r>
      <w:r>
        <w:rPr>
          <w:rFonts w:hint="eastAsia" w:ascii="仿宋" w:hAnsi="仿宋" w:eastAsia="仿宋" w:cs="仿宋"/>
          <w:color w:val="auto"/>
          <w:sz w:val="32"/>
          <w:szCs w:val="32"/>
          <w:shd w:val="clear" w:color="auto" w:fill="FFFFFF"/>
          <w:lang w:val="en-US" w:eastAsia="zh-CN"/>
        </w:rPr>
        <w:t>享受机关事业单位、企业职工基本养老保险丧葬补助政策等</w:t>
      </w:r>
      <w:r>
        <w:rPr>
          <w:rFonts w:hint="eastAsia" w:ascii="仿宋" w:hAnsi="仿宋" w:eastAsia="仿宋" w:cs="仿宋"/>
          <w:color w:val="auto"/>
          <w:sz w:val="32"/>
          <w:szCs w:val="32"/>
          <w:shd w:val="clear" w:color="auto" w:fill="FFFFFF"/>
          <w:lang w:eastAsia="zh-CN"/>
        </w:rPr>
        <w:t>人员</w:t>
      </w:r>
      <w:r>
        <w:rPr>
          <w:rFonts w:hint="eastAsia" w:ascii="仿宋" w:hAnsi="仿宋" w:eastAsia="仿宋" w:cs="仿宋"/>
          <w:color w:val="auto"/>
          <w:sz w:val="32"/>
          <w:szCs w:val="32"/>
          <w:shd w:val="clear" w:color="auto" w:fill="FFFFFF"/>
        </w:rPr>
        <w:t>信息比对</w:t>
      </w:r>
      <w:r>
        <w:rPr>
          <w:rFonts w:hint="eastAsia" w:ascii="仿宋" w:hAnsi="仿宋" w:eastAsia="仿宋" w:cs="仿宋"/>
          <w:color w:val="auto"/>
          <w:sz w:val="32"/>
          <w:szCs w:val="32"/>
          <w:shd w:val="clear" w:color="auto" w:fill="FFFFFF"/>
          <w:lang w:eastAsia="zh-CN"/>
        </w:rPr>
        <w:t>和联审联批</w:t>
      </w:r>
      <w:r>
        <w:rPr>
          <w:rFonts w:hint="eastAsia" w:ascii="仿宋" w:hAnsi="仿宋" w:eastAsia="仿宋" w:cs="仿宋"/>
          <w:color w:val="auto"/>
          <w:sz w:val="32"/>
          <w:szCs w:val="32"/>
          <w:shd w:val="clear" w:color="auto" w:fill="FFFFFF"/>
        </w:rPr>
        <w:t>机制，</w:t>
      </w:r>
      <w:r>
        <w:rPr>
          <w:rFonts w:hint="eastAsia" w:ascii="仿宋" w:hAnsi="仿宋" w:eastAsia="仿宋" w:cs="仿宋"/>
          <w:color w:val="auto"/>
          <w:sz w:val="32"/>
          <w:szCs w:val="32"/>
          <w:shd w:val="clear" w:color="auto" w:fill="FFFFFF"/>
          <w:lang w:eastAsia="zh-CN"/>
        </w:rPr>
        <w:t>对符合条件且未违反殡葬政策的人员及时进行审批。</w:t>
      </w:r>
    </w:p>
    <w:p w14:paraId="2FEAD812">
      <w:pPr>
        <w:keepNext w:val="0"/>
        <w:keepLines w:val="0"/>
        <w:pageBreakBefore w:val="0"/>
        <w:widowControl w:val="0"/>
        <w:kinsoku/>
        <w:wordWrap/>
        <w:overflowPunct/>
        <w:topLinePunct w:val="0"/>
        <w:autoSpaceDE/>
        <w:autoSpaceDN/>
        <w:bidi w:val="0"/>
        <w:adjustRightInd/>
        <w:snapToGrid/>
        <w:ind w:firstLine="620"/>
        <w:jc w:val="both"/>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b/>
          <w:bCs/>
          <w:color w:val="auto"/>
          <w:sz w:val="32"/>
          <w:szCs w:val="32"/>
          <w:shd w:val="clear" w:color="auto" w:fill="FFFFFF"/>
        </w:rPr>
        <w:t>卫健部门：</w:t>
      </w:r>
      <w:r>
        <w:rPr>
          <w:rFonts w:hint="eastAsia" w:ascii="仿宋" w:hAnsi="仿宋" w:eastAsia="仿宋" w:cs="仿宋"/>
          <w:color w:val="auto"/>
          <w:sz w:val="32"/>
          <w:szCs w:val="32"/>
          <w:shd w:val="clear" w:color="auto" w:fill="FFFFFF"/>
          <w:lang w:val="en-US" w:eastAsia="zh-CN"/>
        </w:rPr>
        <w:t>负责加强医院遗体太平间（暂存间）管理</w:t>
      </w:r>
      <w:r>
        <w:rPr>
          <w:rFonts w:hint="eastAsia" w:ascii="仿宋" w:hAnsi="仿宋" w:eastAsia="仿宋" w:cs="仿宋"/>
          <w:color w:val="auto"/>
          <w:sz w:val="32"/>
          <w:szCs w:val="32"/>
          <w:shd w:val="clear" w:color="auto" w:fill="FFFFFF"/>
          <w:lang w:eastAsia="zh-CN"/>
        </w:rPr>
        <w:t>；督促县</w:t>
      </w:r>
      <w:r>
        <w:rPr>
          <w:rFonts w:hint="eastAsia" w:ascii="仿宋" w:hAnsi="仿宋" w:eastAsia="仿宋" w:cs="仿宋"/>
          <w:color w:val="auto"/>
          <w:sz w:val="32"/>
          <w:szCs w:val="32"/>
          <w:shd w:val="clear" w:color="auto" w:fill="FFFFFF"/>
          <w:lang w:val="en-US" w:eastAsia="zh-CN"/>
        </w:rPr>
        <w:t>级医</w:t>
      </w:r>
      <w:r>
        <w:rPr>
          <w:rFonts w:hint="eastAsia" w:ascii="仿宋" w:hAnsi="仿宋" w:eastAsia="仿宋" w:cs="仿宋"/>
          <w:color w:val="auto"/>
          <w:sz w:val="32"/>
          <w:szCs w:val="32"/>
          <w:shd w:val="clear" w:color="auto" w:fill="FFFFFF"/>
          <w:lang w:eastAsia="zh-CN"/>
        </w:rPr>
        <w:t>院</w:t>
      </w:r>
      <w:r>
        <w:rPr>
          <w:rFonts w:hint="eastAsia" w:ascii="仿宋" w:hAnsi="仿宋" w:eastAsia="仿宋" w:cs="仿宋"/>
          <w:color w:val="auto"/>
          <w:sz w:val="32"/>
          <w:szCs w:val="32"/>
          <w:shd w:val="clear" w:color="auto" w:fill="FFFFFF"/>
          <w:lang w:val="en-US" w:eastAsia="zh-CN"/>
        </w:rPr>
        <w:t>和乡镇卫生院</w:t>
      </w:r>
      <w:r>
        <w:rPr>
          <w:rFonts w:hint="eastAsia" w:ascii="仿宋" w:hAnsi="仿宋" w:eastAsia="仿宋" w:cs="仿宋"/>
          <w:color w:val="auto"/>
          <w:sz w:val="32"/>
          <w:szCs w:val="32"/>
          <w:shd w:val="clear" w:color="auto" w:fill="FFFFFF"/>
          <w:lang w:eastAsia="zh-CN"/>
        </w:rPr>
        <w:t>做好医院内死亡人员的管理，按要求出具《居民死亡医学证明（推断）书》《死胎医学证明书》等；明确专人负责临终人员转运工作，</w:t>
      </w:r>
      <w:r>
        <w:rPr>
          <w:rFonts w:hint="eastAsia" w:ascii="仿宋" w:hAnsi="仿宋" w:eastAsia="仿宋" w:cs="仿宋"/>
          <w:color w:val="auto"/>
          <w:sz w:val="32"/>
          <w:szCs w:val="32"/>
          <w:shd w:val="clear" w:color="auto" w:fill="FFFFFF"/>
          <w:lang w:val="en-US" w:eastAsia="zh-CN"/>
        </w:rPr>
        <w:t>配合民政部门做好集中治丧政策宣传，及时将县殡仪馆服务电话告知亡故患者家属</w:t>
      </w:r>
      <w:r>
        <w:rPr>
          <w:rFonts w:hint="eastAsia" w:ascii="仿宋" w:hAnsi="仿宋" w:eastAsia="仿宋" w:cs="仿宋"/>
          <w:color w:val="auto"/>
          <w:sz w:val="32"/>
          <w:szCs w:val="32"/>
          <w:shd w:val="clear" w:color="auto" w:fill="FFFFFF"/>
          <w:lang w:eastAsia="zh-CN"/>
        </w:rPr>
        <w:t>，并规范建立转（接）运移交登记</w:t>
      </w:r>
      <w:r>
        <w:rPr>
          <w:rFonts w:hint="eastAsia" w:ascii="仿宋" w:hAnsi="仿宋" w:eastAsia="仿宋" w:cs="仿宋"/>
          <w:color w:val="auto"/>
          <w:sz w:val="32"/>
          <w:szCs w:val="32"/>
          <w:shd w:val="clear" w:color="auto" w:fill="FFFFFF"/>
          <w:lang w:val="en-US" w:eastAsia="zh-CN"/>
        </w:rPr>
        <w:t>台账。</w:t>
      </w:r>
    </w:p>
    <w:p w14:paraId="48AEE9FB">
      <w:pPr>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b/>
          <w:bCs/>
          <w:color w:val="auto"/>
          <w:sz w:val="32"/>
          <w:szCs w:val="32"/>
          <w:lang w:eastAsia="zh-CN"/>
        </w:rPr>
        <w:t>交运部门：</w:t>
      </w:r>
      <w:r>
        <w:rPr>
          <w:rFonts w:hint="eastAsia" w:ascii="仿宋" w:hAnsi="仿宋" w:eastAsia="仿宋" w:cs="仿宋"/>
          <w:color w:val="auto"/>
          <w:sz w:val="32"/>
          <w:szCs w:val="32"/>
          <w:shd w:val="clear" w:color="auto" w:fill="FFFFFF"/>
          <w:lang w:val="en-US" w:eastAsia="zh-CN"/>
        </w:rPr>
        <w:t>负责保障县内各乡（镇）到县殡仪馆道路安全、畅通，配合公安、民政、市监等部门对非法营运车辆承接遗体接运和殡葬物资运输业务等行为进行查处。</w:t>
      </w:r>
    </w:p>
    <w:p w14:paraId="1C8DFF59">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rPr>
        <w:t>群团组织：</w:t>
      </w:r>
      <w:r>
        <w:rPr>
          <w:rFonts w:hint="eastAsia" w:ascii="仿宋" w:hAnsi="仿宋" w:eastAsia="仿宋" w:cs="仿宋"/>
          <w:color w:val="auto"/>
          <w:sz w:val="32"/>
          <w:szCs w:val="32"/>
        </w:rPr>
        <w:t>充分发挥</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作用，广泛动员群众积极参与殡葬改革工作。</w:t>
      </w:r>
    </w:p>
    <w:p w14:paraId="53681173">
      <w:pPr>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b/>
          <w:bCs/>
          <w:color w:val="auto"/>
          <w:sz w:val="32"/>
          <w:szCs w:val="32"/>
          <w:lang w:eastAsia="zh-CN"/>
        </w:rPr>
        <w:t>中寰集团：</w:t>
      </w:r>
      <w:r>
        <w:rPr>
          <w:rFonts w:hint="eastAsia" w:ascii="仿宋" w:hAnsi="仿宋" w:eastAsia="仿宋" w:cs="仿宋"/>
          <w:color w:val="auto"/>
          <w:sz w:val="32"/>
          <w:szCs w:val="32"/>
          <w:shd w:val="clear" w:color="auto" w:fill="FFFFFF"/>
          <w:lang w:val="en-US" w:eastAsia="zh-CN"/>
        </w:rPr>
        <w:t>负责按期完成殡仪馆提升建设和周边基础设施项目，做好殡仪馆（青山陵园）的出资收购和运营工作。</w:t>
      </w:r>
    </w:p>
    <w:p w14:paraId="172F2FA2">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 w:hAnsi="仿宋" w:eastAsia="仿宋" w:cs="仿宋"/>
          <w:b/>
          <w:bCs/>
          <w:iCs/>
          <w:color w:val="auto"/>
          <w:sz w:val="32"/>
          <w:szCs w:val="32"/>
          <w:u w:val="none"/>
          <w:shd w:val="clear" w:color="auto" w:fill="FFFFFF"/>
        </w:rPr>
      </w:pPr>
      <w:r>
        <w:rPr>
          <w:rFonts w:hint="eastAsia" w:ascii="仿宋" w:hAnsi="仿宋" w:eastAsia="仿宋" w:cs="仿宋"/>
          <w:b/>
          <w:bCs/>
          <w:iCs/>
          <w:color w:val="auto"/>
          <w:sz w:val="32"/>
          <w:szCs w:val="32"/>
          <w:u w:val="none"/>
          <w:shd w:val="clear" w:color="auto" w:fill="FFFFFF"/>
        </w:rPr>
        <w:t>城管部门：</w:t>
      </w:r>
      <w:r>
        <w:rPr>
          <w:rFonts w:hint="eastAsia" w:ascii="仿宋" w:hAnsi="仿宋" w:eastAsia="仿宋" w:cs="仿宋"/>
          <w:iCs/>
          <w:color w:val="auto"/>
          <w:sz w:val="32"/>
          <w:szCs w:val="32"/>
          <w:u w:val="none"/>
          <w:shd w:val="clear" w:color="auto" w:fill="FFFFFF"/>
        </w:rPr>
        <w:t>负责对在城区公共场所（如道路、小区、广场等）违规搭设灵棚、摆放花圈、焚烧纸钱等影响市容的行为进行劝导、制止或依法清理。</w:t>
      </w:r>
    </w:p>
    <w:p w14:paraId="5068BC1A">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 w:hAnsi="仿宋" w:eastAsia="仿宋" w:cs="仿宋"/>
          <w:b/>
          <w:bCs/>
          <w:iCs/>
          <w:color w:val="auto"/>
          <w:sz w:val="32"/>
          <w:szCs w:val="32"/>
          <w:u w:val="none"/>
          <w:shd w:val="clear" w:color="auto" w:fill="FFFFFF"/>
        </w:rPr>
      </w:pPr>
      <w:r>
        <w:rPr>
          <w:rFonts w:hint="eastAsia" w:ascii="仿宋" w:hAnsi="仿宋" w:eastAsia="仿宋" w:cs="仿宋"/>
          <w:b/>
          <w:bCs/>
          <w:iCs/>
          <w:color w:val="auto"/>
          <w:sz w:val="32"/>
          <w:szCs w:val="32"/>
          <w:u w:val="none"/>
          <w:shd w:val="clear" w:color="auto" w:fill="FFFFFF"/>
        </w:rPr>
        <w:t>住建部门：</w:t>
      </w:r>
      <w:r>
        <w:rPr>
          <w:rFonts w:hint="eastAsia" w:ascii="仿宋" w:hAnsi="仿宋" w:eastAsia="仿宋" w:cs="仿宋"/>
          <w:iCs/>
          <w:color w:val="auto"/>
          <w:sz w:val="32"/>
          <w:szCs w:val="32"/>
          <w:u w:val="none"/>
          <w:shd w:val="clear" w:color="auto" w:fill="FFFFFF"/>
        </w:rPr>
        <w:t>负责指导物业公司规范住宅小区内的治丧行为，避免占用公共区域、噪音扰民等问题。对小区内违规搭设灵棚、焚烧祭祀用品等行为，协助城管部门进行管理。</w:t>
      </w:r>
    </w:p>
    <w:p w14:paraId="3E106B93">
      <w:pPr>
        <w:keepNext w:val="0"/>
        <w:keepLines w:val="0"/>
        <w:pageBreakBefore w:val="0"/>
        <w:widowControl w:val="0"/>
        <w:kinsoku/>
        <w:wordWrap/>
        <w:overflowPunct/>
        <w:topLinePunct w:val="0"/>
        <w:autoSpaceDE/>
        <w:autoSpaceDN/>
        <w:bidi w:val="0"/>
        <w:adjustRightInd/>
        <w:snapToGrid/>
        <w:ind w:firstLine="620"/>
        <w:jc w:val="both"/>
        <w:textAlignment w:val="auto"/>
        <w:rPr>
          <w:rFonts w:ascii="仿宋" w:hAnsi="仿宋" w:eastAsia="仿宋" w:cs="仿宋"/>
          <w:b/>
          <w:bCs/>
          <w:iCs/>
          <w:color w:val="auto"/>
          <w:sz w:val="32"/>
          <w:szCs w:val="32"/>
          <w:u w:val="none"/>
          <w:shd w:val="clear" w:color="auto" w:fill="FFFFFF"/>
        </w:rPr>
      </w:pPr>
      <w:r>
        <w:rPr>
          <w:rFonts w:hint="eastAsia" w:ascii="仿宋" w:hAnsi="仿宋" w:eastAsia="仿宋" w:cs="仿宋"/>
          <w:b/>
          <w:bCs/>
          <w:iCs/>
          <w:color w:val="auto"/>
          <w:sz w:val="32"/>
          <w:szCs w:val="32"/>
          <w:u w:val="none"/>
          <w:shd w:val="clear" w:color="auto" w:fill="FFFFFF"/>
        </w:rPr>
        <w:t>集中治丧相关乡镇（蒲亭镇、宝塔乡、河东乡）：</w:t>
      </w:r>
      <w:r>
        <w:rPr>
          <w:rFonts w:hint="eastAsia" w:ascii="仿宋" w:hAnsi="仿宋" w:eastAsia="仿宋" w:cs="仿宋"/>
          <w:iCs/>
          <w:color w:val="auto"/>
          <w:sz w:val="32"/>
          <w:szCs w:val="32"/>
          <w:u w:val="none"/>
          <w:shd w:val="clear" w:color="auto" w:fill="FFFFFF"/>
        </w:rPr>
        <w:t>落实属地管理主体责任，制定集中治丧突发事件预案，及时处置突发情况。指导村（社区）做好政策宣传，建立</w:t>
      </w:r>
      <w:r>
        <w:rPr>
          <w:rFonts w:hint="eastAsia" w:ascii="仿宋" w:hAnsi="仿宋" w:eastAsia="仿宋" w:cs="仿宋"/>
          <w:color w:val="auto"/>
          <w:sz w:val="32"/>
          <w:szCs w:val="32"/>
          <w:u w:val="none"/>
        </w:rPr>
        <w:t>村</w:t>
      </w:r>
      <w:r>
        <w:rPr>
          <w:rFonts w:hint="eastAsia" w:ascii="仿宋" w:hAnsi="仿宋" w:eastAsia="仿宋" w:cs="仿宋"/>
          <w:color w:val="auto"/>
          <w:sz w:val="32"/>
          <w:szCs w:val="32"/>
          <w:u w:val="none"/>
          <w:lang w:eastAsia="zh-CN"/>
        </w:rPr>
        <w:t>（</w:t>
      </w:r>
      <w:r>
        <w:rPr>
          <w:rFonts w:hint="eastAsia" w:ascii="仿宋" w:hAnsi="仿宋" w:eastAsia="仿宋" w:cs="仿宋"/>
          <w:iCs/>
          <w:color w:val="auto"/>
          <w:sz w:val="32"/>
          <w:szCs w:val="32"/>
          <w:u w:val="none"/>
          <w:shd w:val="clear" w:color="auto" w:fill="FFFFFF"/>
        </w:rPr>
        <w:t>社区</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丧葬活动报备承诺制度</w:t>
      </w:r>
      <w:r>
        <w:rPr>
          <w:rFonts w:hint="eastAsia" w:ascii="仿宋" w:hAnsi="仿宋" w:eastAsia="仿宋" w:cs="仿宋"/>
          <w:iCs/>
          <w:color w:val="auto"/>
          <w:sz w:val="32"/>
          <w:szCs w:val="32"/>
          <w:u w:val="none"/>
          <w:shd w:val="clear" w:color="auto" w:fill="FFFFFF"/>
        </w:rPr>
        <w:t>；联合城管、公安等部门对辖区内违规搭棚治丧、占道祭扫、噪音扰民等行为进行劝阻或查处。</w:t>
      </w:r>
    </w:p>
    <w:p w14:paraId="46E36707">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shd w:val="clear" w:color="auto" w:fill="FFFFFF"/>
        </w:rPr>
        <w:t>各乡镇人民政府：</w:t>
      </w:r>
      <w:r>
        <w:rPr>
          <w:rFonts w:hint="eastAsia" w:ascii="仿宋" w:hAnsi="仿宋" w:eastAsia="仿宋" w:cs="仿宋"/>
          <w:color w:val="auto"/>
          <w:sz w:val="32"/>
          <w:szCs w:val="32"/>
          <w:shd w:val="clear" w:color="auto" w:fill="FFFFFF"/>
        </w:rPr>
        <w:t>负责落实辖区深化殡葬改革工作主体责任，按属地管理原则，加强殡葬设施建设管理（含历史埋葬点和迁坟安置点）；</w:t>
      </w:r>
      <w:r>
        <w:rPr>
          <w:rFonts w:hint="eastAsia" w:ascii="仿宋" w:hAnsi="仿宋" w:eastAsia="仿宋" w:cs="仿宋"/>
          <w:color w:val="auto"/>
          <w:sz w:val="32"/>
          <w:szCs w:val="32"/>
        </w:rPr>
        <w:t>加强乡镇执法队伍建设，明确其在殡葬领域的执法内容，强化在治丧、火化、安葬等重点环节预防性监管和综合整治。</w:t>
      </w:r>
    </w:p>
    <w:p w14:paraId="6099B490">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ascii="仿宋" w:hAnsi="仿宋" w:eastAsia="仿宋" w:cs="仿宋"/>
          <w:color w:val="auto"/>
          <w:sz w:val="32"/>
          <w:szCs w:val="32"/>
        </w:rPr>
      </w:pPr>
      <w:r>
        <w:rPr>
          <w:rFonts w:ascii="仿宋" w:hAnsi="仿宋" w:eastAsia="仿宋" w:cs="仿宋"/>
          <w:b/>
          <w:bCs/>
          <w:color w:val="auto"/>
          <w:sz w:val="32"/>
          <w:szCs w:val="32"/>
        </w:rPr>
        <w:t>各村（社区）</w:t>
      </w:r>
      <w:r>
        <w:rPr>
          <w:rFonts w:hint="eastAsia" w:ascii="仿宋" w:hAnsi="仿宋" w:eastAsia="仿宋" w:cs="仿宋"/>
          <w:b/>
          <w:bCs/>
          <w:color w:val="auto"/>
          <w:sz w:val="32"/>
          <w:szCs w:val="32"/>
        </w:rPr>
        <w:t>：</w:t>
      </w:r>
      <w:r>
        <w:rPr>
          <w:rFonts w:hint="eastAsia" w:ascii="仿宋" w:hAnsi="仿宋" w:eastAsia="仿宋" w:cs="仿宋"/>
          <w:color w:val="auto"/>
          <w:sz w:val="32"/>
          <w:szCs w:val="32"/>
        </w:rPr>
        <w:t>负责</w:t>
      </w:r>
      <w:r>
        <w:rPr>
          <w:rFonts w:ascii="仿宋" w:hAnsi="仿宋" w:eastAsia="仿宋" w:cs="仿宋"/>
          <w:color w:val="auto"/>
          <w:sz w:val="32"/>
          <w:szCs w:val="32"/>
        </w:rPr>
        <w:t>健全红白理事会</w:t>
      </w:r>
      <w:r>
        <w:rPr>
          <w:rFonts w:hint="eastAsia" w:ascii="仿宋" w:hAnsi="仿宋" w:eastAsia="仿宋" w:cs="仿宋"/>
          <w:color w:val="auto"/>
          <w:sz w:val="32"/>
          <w:szCs w:val="32"/>
        </w:rPr>
        <w:t>建设</w:t>
      </w:r>
      <w:r>
        <w:rPr>
          <w:rFonts w:ascii="仿宋" w:hAnsi="仿宋" w:eastAsia="仿宋" w:cs="仿宋"/>
          <w:color w:val="auto"/>
          <w:sz w:val="32"/>
          <w:szCs w:val="32"/>
        </w:rPr>
        <w:t>，</w:t>
      </w:r>
      <w:r>
        <w:rPr>
          <w:rFonts w:hint="eastAsia" w:ascii="仿宋" w:hAnsi="仿宋" w:eastAsia="仿宋" w:cs="仿宋"/>
          <w:color w:val="auto"/>
          <w:sz w:val="32"/>
          <w:szCs w:val="32"/>
        </w:rPr>
        <w:t>明确理事会成员职责，规范使用工作经费；</w:t>
      </w:r>
      <w:r>
        <w:rPr>
          <w:rFonts w:hint="eastAsia" w:ascii="仿宋" w:hAnsi="仿宋" w:eastAsia="仿宋" w:cs="仿宋"/>
          <w:iCs/>
          <w:color w:val="auto"/>
          <w:sz w:val="32"/>
          <w:szCs w:val="32"/>
          <w:shd w:val="clear" w:color="auto" w:fill="FFFFFF"/>
        </w:rPr>
        <w:t>通过村（社区）会议、广播、宣传栏等方式，向群众普及集中治丧政策，</w:t>
      </w:r>
      <w:r>
        <w:rPr>
          <w:rFonts w:hint="eastAsia" w:ascii="仿宋" w:hAnsi="仿宋" w:eastAsia="仿宋" w:cs="仿宋"/>
          <w:color w:val="auto"/>
          <w:sz w:val="32"/>
          <w:szCs w:val="32"/>
        </w:rPr>
        <w:t>集中治丧范围内村（社区）积极</w:t>
      </w:r>
      <w:r>
        <w:rPr>
          <w:rFonts w:ascii="仿宋" w:hAnsi="仿宋" w:eastAsia="仿宋" w:cs="仿宋"/>
          <w:color w:val="auto"/>
          <w:sz w:val="32"/>
          <w:szCs w:val="32"/>
        </w:rPr>
        <w:t>协助</w:t>
      </w:r>
      <w:r>
        <w:rPr>
          <w:rFonts w:hint="eastAsia" w:ascii="仿宋" w:hAnsi="仿宋" w:eastAsia="仿宋" w:cs="仿宋"/>
          <w:color w:val="auto"/>
          <w:sz w:val="32"/>
          <w:szCs w:val="32"/>
        </w:rPr>
        <w:t>丧属做好集中治丧工作，集中治丧范围外村（社区）鼓励辖区群众至殡仪馆集中治丧；落实逝者信息报告制度，及时掌握辖区人员亡故、治丧、火化、安葬等信息，及时向所在乡镇报告。</w:t>
      </w:r>
    </w:p>
    <w:p w14:paraId="17406F36">
      <w:pPr>
        <w:keepNext w:val="0"/>
        <w:keepLines w:val="0"/>
        <w:pageBreakBefore w:val="0"/>
        <w:widowControl w:val="0"/>
        <w:kinsoku/>
        <w:wordWrap/>
        <w:overflowPunct/>
        <w:topLinePunct w:val="0"/>
        <w:autoSpaceDE/>
        <w:autoSpaceDN/>
        <w:bidi w:val="0"/>
        <w:adjustRightInd/>
        <w:snapToGrid/>
        <w:ind w:firstLine="64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五、保障措施</w:t>
      </w:r>
    </w:p>
    <w:p w14:paraId="51CE77D9">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color w:val="auto"/>
          <w:sz w:val="32"/>
          <w:szCs w:val="32"/>
        </w:rPr>
        <w:t>（一）强化组织保障。</w:t>
      </w:r>
      <w:r>
        <w:rPr>
          <w:rFonts w:hint="eastAsia" w:ascii="仿宋" w:hAnsi="仿宋" w:eastAsia="仿宋" w:cs="仿宋"/>
          <w:color w:val="auto"/>
          <w:sz w:val="32"/>
          <w:szCs w:val="32"/>
        </w:rPr>
        <w:t>县政府相关工作机制负责</w:t>
      </w:r>
      <w:r>
        <w:rPr>
          <w:rFonts w:ascii="仿宋" w:hAnsi="仿宋" w:eastAsia="仿宋" w:cs="仿宋"/>
          <w:color w:val="auto"/>
          <w:sz w:val="32"/>
          <w:szCs w:val="32"/>
        </w:rPr>
        <w:t>统筹推进综合改革工作，</w:t>
      </w:r>
      <w:r>
        <w:rPr>
          <w:rFonts w:hint="eastAsia" w:ascii="仿宋" w:hAnsi="仿宋" w:eastAsia="仿宋" w:cs="仿宋"/>
          <w:color w:val="auto"/>
          <w:sz w:val="32"/>
          <w:szCs w:val="32"/>
        </w:rPr>
        <w:t>加强</w:t>
      </w:r>
      <w:r>
        <w:rPr>
          <w:rFonts w:ascii="仿宋" w:hAnsi="仿宋" w:eastAsia="仿宋" w:cs="仿宋"/>
          <w:color w:val="auto"/>
          <w:sz w:val="32"/>
          <w:szCs w:val="32"/>
        </w:rPr>
        <w:t>突出困难和问题</w:t>
      </w:r>
      <w:r>
        <w:rPr>
          <w:rFonts w:hint="eastAsia" w:ascii="仿宋" w:hAnsi="仿宋" w:eastAsia="仿宋" w:cs="仿宋"/>
          <w:color w:val="auto"/>
          <w:sz w:val="32"/>
          <w:szCs w:val="32"/>
        </w:rPr>
        <w:t>研究</w:t>
      </w:r>
      <w:r>
        <w:rPr>
          <w:rFonts w:ascii="仿宋" w:hAnsi="仿宋" w:eastAsia="仿宋" w:cs="仿宋"/>
          <w:color w:val="auto"/>
          <w:sz w:val="32"/>
          <w:szCs w:val="32"/>
        </w:rPr>
        <w:t>，制定完善政策措施。</w:t>
      </w:r>
      <w:r>
        <w:rPr>
          <w:rFonts w:hint="eastAsia" w:ascii="仿宋" w:hAnsi="仿宋" w:eastAsia="仿宋" w:cs="仿宋"/>
          <w:color w:val="auto"/>
          <w:sz w:val="32"/>
          <w:szCs w:val="32"/>
        </w:rPr>
        <w:t>各</w:t>
      </w:r>
      <w:r>
        <w:rPr>
          <w:rFonts w:ascii="仿宋" w:hAnsi="仿宋" w:eastAsia="仿宋" w:cs="仿宋"/>
          <w:color w:val="auto"/>
          <w:sz w:val="32"/>
          <w:szCs w:val="32"/>
        </w:rPr>
        <w:t>单位要按照职能职责，各司其职、密切配合、齐抓共管、形成合力</w:t>
      </w:r>
      <w:r>
        <w:rPr>
          <w:rFonts w:hint="eastAsia" w:ascii="仿宋" w:hAnsi="仿宋" w:eastAsia="仿宋" w:cs="仿宋"/>
          <w:color w:val="auto"/>
          <w:sz w:val="32"/>
          <w:szCs w:val="32"/>
        </w:rPr>
        <w:t>；</w:t>
      </w:r>
      <w:r>
        <w:rPr>
          <w:rFonts w:ascii="仿宋" w:hAnsi="仿宋" w:eastAsia="仿宋" w:cs="仿宋"/>
          <w:color w:val="auto"/>
          <w:sz w:val="32"/>
          <w:szCs w:val="32"/>
        </w:rPr>
        <w:t>要积极</w:t>
      </w:r>
      <w:r>
        <w:rPr>
          <w:rFonts w:hint="eastAsia" w:ascii="仿宋" w:hAnsi="仿宋" w:eastAsia="仿宋" w:cs="仿宋"/>
          <w:color w:val="auto"/>
          <w:sz w:val="32"/>
          <w:szCs w:val="32"/>
        </w:rPr>
        <w:t>履行主体责任，加强</w:t>
      </w:r>
      <w:r>
        <w:rPr>
          <w:rFonts w:ascii="仿宋" w:hAnsi="仿宋" w:eastAsia="仿宋" w:cs="仿宋"/>
          <w:color w:val="auto"/>
          <w:sz w:val="32"/>
          <w:szCs w:val="32"/>
        </w:rPr>
        <w:t>改革宣传，完成</w:t>
      </w:r>
      <w:r>
        <w:rPr>
          <w:rFonts w:hint="eastAsia" w:ascii="仿宋" w:hAnsi="仿宋" w:eastAsia="仿宋" w:cs="仿宋"/>
          <w:color w:val="auto"/>
          <w:sz w:val="32"/>
          <w:szCs w:val="32"/>
        </w:rPr>
        <w:t>改革</w:t>
      </w:r>
      <w:r>
        <w:rPr>
          <w:rFonts w:ascii="仿宋" w:hAnsi="仿宋" w:eastAsia="仿宋" w:cs="仿宋"/>
          <w:color w:val="auto"/>
          <w:sz w:val="32"/>
          <w:szCs w:val="32"/>
        </w:rPr>
        <w:t>任务。各乡（镇）要</w:t>
      </w:r>
      <w:r>
        <w:rPr>
          <w:rFonts w:hint="eastAsia" w:ascii="仿宋" w:hAnsi="仿宋" w:eastAsia="仿宋" w:cs="仿宋"/>
          <w:color w:val="auto"/>
          <w:sz w:val="32"/>
          <w:szCs w:val="32"/>
        </w:rPr>
        <w:t>落实</w:t>
      </w:r>
      <w:r>
        <w:rPr>
          <w:rFonts w:ascii="仿宋" w:hAnsi="仿宋" w:eastAsia="仿宋" w:cs="仿宋"/>
          <w:color w:val="auto"/>
          <w:sz w:val="32"/>
          <w:szCs w:val="32"/>
        </w:rPr>
        <w:t>属地责任，扎实推进殡葬</w:t>
      </w:r>
      <w:r>
        <w:rPr>
          <w:rFonts w:hint="eastAsia" w:ascii="仿宋" w:hAnsi="仿宋" w:eastAsia="仿宋" w:cs="仿宋"/>
          <w:color w:val="auto"/>
          <w:sz w:val="32"/>
          <w:szCs w:val="32"/>
        </w:rPr>
        <w:t>领域深化</w:t>
      </w:r>
      <w:r>
        <w:rPr>
          <w:rFonts w:ascii="仿宋" w:hAnsi="仿宋" w:eastAsia="仿宋" w:cs="仿宋"/>
          <w:color w:val="auto"/>
          <w:sz w:val="32"/>
          <w:szCs w:val="32"/>
        </w:rPr>
        <w:t>改革工作。</w:t>
      </w:r>
    </w:p>
    <w:p w14:paraId="17DCEC66">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bCs/>
          <w:iCs/>
          <w:color w:val="auto"/>
          <w:sz w:val="32"/>
          <w:szCs w:val="32"/>
          <w:shd w:val="clear" w:color="auto" w:fill="FFFFFF"/>
        </w:rPr>
      </w:pPr>
      <w:r>
        <w:rPr>
          <w:rFonts w:hint="eastAsia" w:ascii="楷体" w:hAnsi="楷体" w:eastAsia="楷体" w:cs="楷体"/>
          <w:b/>
          <w:iCs/>
          <w:color w:val="auto"/>
          <w:sz w:val="32"/>
          <w:szCs w:val="32"/>
        </w:rPr>
        <w:t>（二）强化惠民政策保障。</w:t>
      </w:r>
      <w:r>
        <w:rPr>
          <w:rFonts w:hint="eastAsia" w:ascii="仿宋" w:hAnsi="仿宋" w:eastAsia="仿宋" w:cs="仿宋"/>
          <w:bCs/>
          <w:iCs/>
          <w:color w:val="auto"/>
          <w:sz w:val="32"/>
          <w:szCs w:val="32"/>
          <w:shd w:val="clear" w:color="auto" w:fill="FFFFFF"/>
        </w:rPr>
        <w:t>综合我县惠民政策执行6年来的情况，固强补弱，修订《德安县绿色殡葬奖补激励办法》，</w:t>
      </w:r>
      <w:r>
        <w:rPr>
          <w:rFonts w:hint="eastAsia" w:ascii="仿宋" w:hAnsi="仿宋" w:eastAsia="仿宋" w:cs="仿宋"/>
          <w:bCs/>
          <w:iCs/>
          <w:color w:val="auto"/>
          <w:sz w:val="32"/>
          <w:szCs w:val="32"/>
          <w:shd w:val="clear" w:color="auto" w:fill="FFFFFF"/>
          <w:lang w:eastAsia="zh-CN"/>
        </w:rPr>
        <w:t>完善</w:t>
      </w:r>
      <w:r>
        <w:rPr>
          <w:rFonts w:hint="eastAsia" w:ascii="仿宋" w:hAnsi="仿宋" w:eastAsia="仿宋" w:cs="仿宋"/>
          <w:bCs/>
          <w:iCs/>
          <w:color w:val="auto"/>
          <w:sz w:val="32"/>
          <w:szCs w:val="32"/>
          <w:shd w:val="clear" w:color="auto" w:fill="FFFFFF"/>
        </w:rPr>
        <w:t>五项减免政策规定、</w:t>
      </w:r>
      <w:r>
        <w:rPr>
          <w:rFonts w:hint="eastAsia" w:ascii="仿宋" w:hAnsi="仿宋" w:eastAsia="仿宋" w:cs="仿宋"/>
          <w:bCs/>
          <w:iCs/>
          <w:color w:val="auto"/>
          <w:sz w:val="32"/>
          <w:szCs w:val="32"/>
          <w:shd w:val="clear" w:color="auto" w:fill="FFFFFF"/>
          <w:lang w:eastAsia="zh-CN"/>
        </w:rPr>
        <w:t>集中治丧惠民保障措施、</w:t>
      </w:r>
      <w:r>
        <w:rPr>
          <w:rFonts w:hint="eastAsia" w:ascii="仿宋" w:hAnsi="仿宋" w:eastAsia="仿宋" w:cs="仿宋"/>
          <w:b w:val="0"/>
          <w:bCs w:val="0"/>
          <w:color w:val="auto"/>
          <w:sz w:val="32"/>
          <w:szCs w:val="32"/>
          <w:lang w:val="en-US" w:eastAsia="zh-CN"/>
        </w:rPr>
        <w:t>违规线索举报奖励标准等，取消部分不适宜的奖补措施，切实</w:t>
      </w:r>
      <w:r>
        <w:rPr>
          <w:rFonts w:hint="eastAsia" w:ascii="仿宋" w:hAnsi="仿宋" w:eastAsia="仿宋" w:cs="仿宋"/>
          <w:bCs/>
          <w:iCs/>
          <w:color w:val="auto"/>
          <w:sz w:val="32"/>
          <w:szCs w:val="32"/>
          <w:shd w:val="clear" w:color="auto" w:fill="FFFFFF"/>
        </w:rPr>
        <w:t>提升保障的精准度和覆盖面，让</w:t>
      </w:r>
      <w:r>
        <w:rPr>
          <w:rFonts w:hint="eastAsia" w:ascii="仿宋" w:hAnsi="仿宋" w:eastAsia="仿宋" w:cs="仿宋"/>
          <w:bCs/>
          <w:iCs/>
          <w:color w:val="auto"/>
          <w:sz w:val="32"/>
          <w:szCs w:val="32"/>
          <w:shd w:val="clear" w:color="auto" w:fill="FFFFFF"/>
          <w:lang w:eastAsia="zh-CN"/>
        </w:rPr>
        <w:t>奖补</w:t>
      </w:r>
      <w:r>
        <w:rPr>
          <w:rFonts w:hint="eastAsia" w:ascii="仿宋" w:hAnsi="仿宋" w:eastAsia="仿宋" w:cs="仿宋"/>
          <w:bCs/>
          <w:iCs/>
          <w:color w:val="auto"/>
          <w:sz w:val="32"/>
          <w:szCs w:val="32"/>
          <w:shd w:val="clear" w:color="auto" w:fill="FFFFFF"/>
        </w:rPr>
        <w:t>政策惠及更多的群众。</w:t>
      </w:r>
    </w:p>
    <w:p w14:paraId="106E8DE7">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b/>
          <w:bCs/>
          <w:color w:val="auto"/>
          <w:sz w:val="32"/>
          <w:szCs w:val="32"/>
        </w:rPr>
        <w:t>（三）强化考核督查</w:t>
      </w:r>
      <w:r>
        <w:rPr>
          <w:rFonts w:ascii="仿宋" w:hAnsi="仿宋" w:eastAsia="仿宋" w:cs="仿宋"/>
          <w:b/>
          <w:bCs/>
          <w:color w:val="auto"/>
          <w:sz w:val="32"/>
          <w:szCs w:val="32"/>
        </w:rPr>
        <w:t>。</w:t>
      </w:r>
      <w:r>
        <w:rPr>
          <w:rFonts w:ascii="仿宋" w:hAnsi="仿宋" w:eastAsia="仿宋" w:cs="仿宋"/>
          <w:color w:val="auto"/>
          <w:sz w:val="32"/>
          <w:szCs w:val="32"/>
        </w:rPr>
        <w:t>将全县殡葬综合改革工作纳入综合考核，严格奖惩兑现，</w:t>
      </w:r>
      <w:r>
        <w:rPr>
          <w:rFonts w:hint="eastAsia" w:ascii="仿宋" w:hAnsi="仿宋" w:eastAsia="仿宋" w:cs="仿宋"/>
          <w:color w:val="auto"/>
          <w:sz w:val="32"/>
          <w:szCs w:val="32"/>
        </w:rPr>
        <w:t>定期</w:t>
      </w:r>
      <w:r>
        <w:rPr>
          <w:rFonts w:ascii="仿宋" w:hAnsi="仿宋" w:eastAsia="仿宋" w:cs="仿宋"/>
          <w:color w:val="auto"/>
          <w:sz w:val="32"/>
          <w:szCs w:val="32"/>
        </w:rPr>
        <w:t>对工作进展情况实行调度、通报、考评。县政府督查室要将此项工作列</w:t>
      </w:r>
      <w:r>
        <w:rPr>
          <w:rFonts w:hint="eastAsia" w:ascii="仿宋" w:hAnsi="仿宋" w:eastAsia="仿宋" w:cs="仿宋"/>
          <w:color w:val="auto"/>
          <w:sz w:val="32"/>
          <w:szCs w:val="32"/>
        </w:rPr>
        <w:t>入</w:t>
      </w:r>
      <w:r>
        <w:rPr>
          <w:rFonts w:ascii="仿宋" w:hAnsi="仿宋" w:eastAsia="仿宋" w:cs="仿宋"/>
          <w:color w:val="auto"/>
          <w:sz w:val="32"/>
          <w:szCs w:val="32"/>
        </w:rPr>
        <w:t>督查</w:t>
      </w:r>
      <w:r>
        <w:rPr>
          <w:rFonts w:hint="eastAsia" w:ascii="仿宋" w:hAnsi="仿宋" w:eastAsia="仿宋" w:cs="仿宋"/>
          <w:color w:val="auto"/>
          <w:sz w:val="32"/>
          <w:szCs w:val="32"/>
        </w:rPr>
        <w:t>清单</w:t>
      </w:r>
      <w:r>
        <w:rPr>
          <w:rFonts w:ascii="仿宋" w:hAnsi="仿宋" w:eastAsia="仿宋" w:cs="仿宋"/>
          <w:color w:val="auto"/>
          <w:sz w:val="32"/>
          <w:szCs w:val="32"/>
        </w:rPr>
        <w:t>，对行动迟缓、措施不力、推行力度不大或引发社会矛盾的，要及时进行通报，实行责任倒查。</w:t>
      </w:r>
    </w:p>
    <w:p w14:paraId="45FFBD2C">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b/>
          <w:bCs/>
          <w:color w:val="auto"/>
          <w:sz w:val="32"/>
          <w:szCs w:val="32"/>
        </w:rPr>
        <w:t>（四）强化纪律要求。</w:t>
      </w:r>
      <w:r>
        <w:rPr>
          <w:rFonts w:ascii="仿宋" w:hAnsi="仿宋" w:eastAsia="仿宋" w:cs="仿宋"/>
          <w:color w:val="auto"/>
          <w:sz w:val="32"/>
          <w:szCs w:val="32"/>
        </w:rPr>
        <w:t>全县党员干部、国家公职人员要自觉带头推动殡葬改革，带头</w:t>
      </w:r>
      <w:r>
        <w:rPr>
          <w:rFonts w:hint="eastAsia" w:ascii="仿宋" w:hAnsi="仿宋" w:eastAsia="仿宋" w:cs="仿宋"/>
          <w:color w:val="auto"/>
          <w:sz w:val="32"/>
          <w:szCs w:val="32"/>
        </w:rPr>
        <w:t>执行集中治丧规定，带头整治直系亲属</w:t>
      </w:r>
      <w:r>
        <w:rPr>
          <w:rFonts w:hint="eastAsia" w:ascii="仿宋" w:hAnsi="仿宋" w:eastAsia="仿宋" w:cs="仿宋"/>
          <w:color w:val="auto"/>
          <w:sz w:val="32"/>
          <w:szCs w:val="32"/>
          <w:lang w:eastAsia="zh-CN"/>
        </w:rPr>
        <w:t>“三沿六区”散埋乱葬坟墓、</w:t>
      </w:r>
      <w:r>
        <w:rPr>
          <w:rFonts w:hint="eastAsia" w:ascii="仿宋" w:hAnsi="仿宋" w:eastAsia="仿宋" w:cs="仿宋"/>
          <w:color w:val="auto"/>
          <w:sz w:val="32"/>
          <w:szCs w:val="32"/>
        </w:rPr>
        <w:t>大墓、豪华墓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“活人墓”和</w:t>
      </w:r>
      <w:r>
        <w:rPr>
          <w:rFonts w:hint="eastAsia" w:ascii="仿宋" w:hAnsi="仿宋" w:eastAsia="仿宋" w:cs="仿宋"/>
          <w:color w:val="auto"/>
          <w:sz w:val="32"/>
          <w:szCs w:val="32"/>
          <w:lang w:eastAsia="zh-CN"/>
        </w:rPr>
        <w:t>公墓外违建</w:t>
      </w:r>
      <w:r>
        <w:rPr>
          <w:rFonts w:hint="eastAsia" w:ascii="仿宋" w:hAnsi="仿宋" w:eastAsia="仿宋" w:cs="仿宋"/>
          <w:color w:val="auto"/>
          <w:sz w:val="32"/>
          <w:szCs w:val="32"/>
        </w:rPr>
        <w:t>坟墓</w:t>
      </w:r>
      <w:r>
        <w:rPr>
          <w:rFonts w:hint="eastAsia" w:ascii="仿宋" w:hAnsi="仿宋" w:eastAsia="仿宋" w:cs="仿宋"/>
          <w:color w:val="auto"/>
          <w:sz w:val="32"/>
          <w:szCs w:val="32"/>
          <w:lang w:eastAsia="zh-CN"/>
        </w:rPr>
        <w:t>等问题</w:t>
      </w:r>
      <w:r>
        <w:rPr>
          <w:rFonts w:hint="eastAsia" w:ascii="仿宋" w:hAnsi="仿宋" w:eastAsia="仿宋" w:cs="仿宋"/>
          <w:color w:val="auto"/>
          <w:sz w:val="32"/>
          <w:szCs w:val="32"/>
        </w:rPr>
        <w:t>，带头开展文明祭扫，</w:t>
      </w:r>
      <w:r>
        <w:rPr>
          <w:rFonts w:ascii="仿宋" w:hAnsi="仿宋" w:eastAsia="仿宋" w:cs="仿宋"/>
          <w:color w:val="auto"/>
          <w:sz w:val="32"/>
          <w:szCs w:val="32"/>
        </w:rPr>
        <w:t>带头落实生态安葬。纪检监察机关对整治过程中</w:t>
      </w:r>
      <w:r>
        <w:rPr>
          <w:rFonts w:hint="eastAsia" w:ascii="仿宋" w:hAnsi="仿宋" w:eastAsia="仿宋" w:cs="仿宋"/>
          <w:color w:val="auto"/>
          <w:sz w:val="32"/>
          <w:szCs w:val="32"/>
        </w:rPr>
        <w:t>发现</w:t>
      </w:r>
      <w:r>
        <w:rPr>
          <w:rFonts w:ascii="仿宋" w:hAnsi="仿宋" w:eastAsia="仿宋" w:cs="仿宋"/>
          <w:color w:val="auto"/>
          <w:sz w:val="32"/>
          <w:szCs w:val="32"/>
        </w:rPr>
        <w:t>的问题线索，加大执纪工作力度，依规依纪予以问责；涉嫌违法的，移交司法机关依法严肃处理。</w:t>
      </w:r>
    </w:p>
    <w:p w14:paraId="0CC0F6EC">
      <w:pPr>
        <w:keepNext w:val="0"/>
        <w:keepLines w:val="0"/>
        <w:pageBreakBefore w:val="0"/>
        <w:widowControl w:val="0"/>
        <w:kinsoku/>
        <w:wordWrap/>
        <w:overflowPunct/>
        <w:topLinePunct w:val="0"/>
        <w:autoSpaceDE/>
        <w:autoSpaceDN/>
        <w:bidi w:val="0"/>
        <w:adjustRightInd/>
        <w:snapToGrid/>
        <w:ind w:firstLine="640"/>
        <w:jc w:val="both"/>
        <w:textAlignment w:val="auto"/>
        <w:rPr>
          <w:rFonts w:ascii="仿宋" w:hAnsi="仿宋" w:eastAsia="仿宋" w:cs="仿宋"/>
          <w:color w:val="auto"/>
          <w:sz w:val="32"/>
          <w:szCs w:val="32"/>
        </w:rPr>
      </w:pPr>
      <w:r>
        <w:rPr>
          <w:rFonts w:hint="eastAsia" w:ascii="楷体" w:hAnsi="楷体" w:eastAsia="楷体" w:cs="楷体"/>
          <w:b/>
          <w:bCs/>
          <w:color w:val="auto"/>
          <w:sz w:val="32"/>
          <w:szCs w:val="32"/>
        </w:rPr>
        <w:t>（五）强化平安稳定。</w:t>
      </w:r>
      <w:r>
        <w:rPr>
          <w:rFonts w:ascii="仿宋" w:hAnsi="仿宋" w:eastAsia="仿宋" w:cs="仿宋"/>
          <w:color w:val="auto"/>
          <w:sz w:val="32"/>
          <w:szCs w:val="32"/>
        </w:rPr>
        <w:t>殡葬综合改革涉及面广，殡葬治理法规政策性强，工作难度大，面对的矛盾问题细致繁复。各乡镇、县直相关部门要将此项工作与维护社会稳定工作一同安排，既要强力推进，又要积极做好正面引导，坚持依法依规办事，确保社会和谐稳定。</w:t>
      </w:r>
    </w:p>
    <w:p w14:paraId="7E931D0F">
      <w:pPr>
        <w:ind w:firstLine="640"/>
        <w:rPr>
          <w:rFonts w:ascii="仿宋" w:hAnsi="仿宋" w:eastAsia="仿宋" w:cs="仿宋"/>
          <w:color w:val="auto"/>
          <w:sz w:val="32"/>
          <w:szCs w:val="32"/>
        </w:rPr>
      </w:pPr>
    </w:p>
    <w:p w14:paraId="4EBD6433">
      <w:pPr>
        <w:ind w:firstLine="640"/>
        <w:rPr>
          <w:rFonts w:ascii="仿宋" w:hAnsi="仿宋" w:eastAsia="仿宋" w:cs="仿宋"/>
          <w:color w:val="auto"/>
          <w:sz w:val="32"/>
          <w:szCs w:val="32"/>
        </w:rPr>
      </w:pPr>
    </w:p>
    <w:p w14:paraId="54043C63">
      <w:pPr>
        <w:ind w:firstLine="640"/>
        <w:rPr>
          <w:rFonts w:ascii="仿宋" w:hAnsi="仿宋" w:eastAsia="仿宋" w:cs="仿宋"/>
          <w:color w:val="auto"/>
          <w:sz w:val="32"/>
          <w:szCs w:val="32"/>
        </w:rPr>
      </w:pPr>
    </w:p>
    <w:p w14:paraId="5B6BC9BC">
      <w:pPr>
        <w:ind w:firstLine="640"/>
        <w:rPr>
          <w:rFonts w:ascii="仿宋" w:hAnsi="仿宋" w:eastAsia="仿宋" w:cs="仿宋"/>
          <w:color w:val="auto"/>
          <w:sz w:val="32"/>
          <w:szCs w:val="32"/>
        </w:rPr>
      </w:pPr>
    </w:p>
    <w:p w14:paraId="0668E8DF">
      <w:pPr>
        <w:ind w:firstLine="640"/>
        <w:rPr>
          <w:rFonts w:ascii="仿宋" w:hAnsi="仿宋" w:eastAsia="仿宋" w:cs="仿宋"/>
          <w:color w:val="auto"/>
          <w:sz w:val="32"/>
          <w:szCs w:val="32"/>
        </w:rPr>
      </w:pPr>
    </w:p>
    <w:p w14:paraId="5B2AE5B1">
      <w:pPr>
        <w:ind w:firstLine="640"/>
        <w:rPr>
          <w:rFonts w:ascii="仿宋" w:hAnsi="仿宋" w:eastAsia="仿宋" w:cs="仿宋"/>
          <w:color w:val="auto"/>
          <w:sz w:val="32"/>
          <w:szCs w:val="32"/>
        </w:rPr>
      </w:pPr>
    </w:p>
    <w:p w14:paraId="650A95DE">
      <w:pPr>
        <w:ind w:firstLine="640"/>
        <w:rPr>
          <w:rFonts w:ascii="仿宋" w:hAnsi="仿宋" w:eastAsia="仿宋" w:cs="仿宋"/>
          <w:color w:val="auto"/>
          <w:sz w:val="32"/>
          <w:szCs w:val="32"/>
        </w:rPr>
      </w:pPr>
    </w:p>
    <w:p w14:paraId="763CE19C">
      <w:pPr>
        <w:ind w:firstLine="640"/>
        <w:rPr>
          <w:rFonts w:ascii="仿宋" w:hAnsi="仿宋" w:eastAsia="仿宋" w:cs="仿宋"/>
          <w:color w:val="auto"/>
          <w:sz w:val="32"/>
          <w:szCs w:val="32"/>
        </w:rPr>
      </w:pPr>
    </w:p>
    <w:p w14:paraId="55514A4C">
      <w:pPr>
        <w:ind w:firstLine="640"/>
        <w:rPr>
          <w:rFonts w:ascii="仿宋" w:hAnsi="仿宋" w:eastAsia="仿宋" w:cs="仿宋"/>
          <w:color w:val="auto"/>
          <w:sz w:val="32"/>
          <w:szCs w:val="32"/>
        </w:rPr>
      </w:pPr>
    </w:p>
    <w:p w14:paraId="02EB7711">
      <w:pPr>
        <w:ind w:firstLine="640"/>
        <w:rPr>
          <w:rFonts w:ascii="仿宋" w:hAnsi="仿宋" w:eastAsia="仿宋" w:cs="仿宋"/>
          <w:color w:val="auto"/>
          <w:sz w:val="32"/>
          <w:szCs w:val="32"/>
        </w:rPr>
      </w:pPr>
    </w:p>
    <w:p w14:paraId="0F26196A">
      <w:pPr>
        <w:ind w:firstLine="640"/>
        <w:rPr>
          <w:rFonts w:ascii="仿宋" w:hAnsi="仿宋" w:eastAsia="仿宋" w:cs="仿宋"/>
          <w:color w:val="auto"/>
          <w:sz w:val="32"/>
          <w:szCs w:val="32"/>
        </w:rPr>
      </w:pPr>
    </w:p>
    <w:p w14:paraId="22E3B9F5">
      <w:pPr>
        <w:ind w:firstLine="640"/>
        <w:rPr>
          <w:rFonts w:ascii="仿宋" w:hAnsi="仿宋" w:eastAsia="仿宋" w:cs="仿宋"/>
          <w:color w:val="auto"/>
          <w:sz w:val="32"/>
          <w:szCs w:val="32"/>
        </w:rPr>
      </w:pPr>
    </w:p>
    <w:p w14:paraId="4EC3F265">
      <w:pPr>
        <w:ind w:firstLine="640"/>
        <w:rPr>
          <w:rFonts w:ascii="仿宋" w:hAnsi="仿宋" w:eastAsia="仿宋" w:cs="仿宋"/>
          <w:color w:val="auto"/>
          <w:sz w:val="32"/>
          <w:szCs w:val="32"/>
        </w:rPr>
      </w:pPr>
    </w:p>
    <w:p w14:paraId="45E56354">
      <w:pPr>
        <w:ind w:firstLine="640"/>
        <w:rPr>
          <w:rFonts w:ascii="仿宋" w:hAnsi="仿宋" w:eastAsia="仿宋" w:cs="仿宋"/>
          <w:color w:val="auto"/>
          <w:sz w:val="32"/>
          <w:szCs w:val="32"/>
        </w:rPr>
      </w:pPr>
    </w:p>
    <w:p w14:paraId="6706E258">
      <w:pPr>
        <w:ind w:firstLine="640"/>
        <w:rPr>
          <w:rFonts w:ascii="仿宋" w:hAnsi="仿宋" w:eastAsia="仿宋" w:cs="仿宋"/>
          <w:color w:val="auto"/>
          <w:sz w:val="32"/>
          <w:szCs w:val="32"/>
        </w:rPr>
      </w:pPr>
    </w:p>
    <w:p w14:paraId="5361781C">
      <w:pPr>
        <w:ind w:firstLine="640"/>
        <w:rPr>
          <w:rFonts w:ascii="仿宋" w:hAnsi="仿宋" w:eastAsia="仿宋" w:cs="仿宋"/>
          <w:color w:val="auto"/>
          <w:sz w:val="32"/>
          <w:szCs w:val="32"/>
        </w:rPr>
      </w:pPr>
    </w:p>
    <w:p w14:paraId="4463C657">
      <w:pPr>
        <w:ind w:firstLine="640"/>
        <w:rPr>
          <w:rFonts w:ascii="仿宋" w:hAnsi="仿宋" w:eastAsia="仿宋" w:cs="仿宋"/>
          <w:color w:val="auto"/>
          <w:sz w:val="32"/>
          <w:szCs w:val="32"/>
        </w:rPr>
      </w:pPr>
    </w:p>
    <w:p w14:paraId="20C3A7EF">
      <w:pPr>
        <w:ind w:firstLine="640"/>
        <w:rPr>
          <w:rFonts w:ascii="仿宋" w:hAnsi="仿宋" w:eastAsia="仿宋" w:cs="仿宋"/>
          <w:color w:val="auto"/>
          <w:sz w:val="32"/>
          <w:szCs w:val="32"/>
        </w:rPr>
      </w:pPr>
    </w:p>
    <w:p w14:paraId="538CF2C7">
      <w:pPr>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附件</w:t>
      </w:r>
    </w:p>
    <w:p w14:paraId="2CF1FA14">
      <w:pPr>
        <w:jc w:val="center"/>
        <w:rPr>
          <w:rFonts w:hint="eastAsia" w:ascii="华文中宋" w:hAnsi="华文中宋" w:eastAsia="华文中宋" w:cs="华文中宋"/>
          <w:b/>
          <w:bCs/>
          <w:color w:val="auto"/>
          <w:sz w:val="44"/>
          <w:szCs w:val="44"/>
          <w:u w:val="none"/>
          <w:lang w:val="en-US" w:eastAsia="zh-CN"/>
        </w:rPr>
      </w:pPr>
      <w:r>
        <w:rPr>
          <w:rFonts w:hint="eastAsia" w:ascii="华文中宋" w:hAnsi="华文中宋" w:eastAsia="华文中宋" w:cs="华文中宋"/>
          <w:b/>
          <w:bCs/>
          <w:color w:val="auto"/>
          <w:sz w:val="44"/>
          <w:szCs w:val="44"/>
          <w:u w:val="none"/>
          <w:lang w:val="en-US" w:eastAsia="zh-CN"/>
        </w:rPr>
        <w:t>城区集中治丧区域范围（禁燃禁放区域）</w:t>
      </w:r>
    </w:p>
    <w:p w14:paraId="6E15B27E">
      <w:pPr>
        <w:ind w:firstLine="640" w:firstLineChars="200"/>
        <w:rPr>
          <w:rFonts w:hint="eastAsia" w:ascii="仿宋" w:hAnsi="仿宋" w:eastAsia="仿宋" w:cs="仿宋"/>
          <w:color w:val="FF0000"/>
          <w:sz w:val="32"/>
          <w:szCs w:val="32"/>
          <w:u w:val="none"/>
          <w:lang w:val="en-US" w:eastAsia="zh-CN"/>
        </w:rPr>
      </w:pPr>
    </w:p>
    <w:p w14:paraId="29C01ABC">
      <w:pPr>
        <w:ind w:firstLine="480" w:firstLineChars="200"/>
        <w:rPr>
          <w:rFonts w:hint="default" w:ascii="仿宋" w:hAnsi="仿宋" w:eastAsia="仿宋" w:cs="仿宋"/>
          <w:sz w:val="32"/>
          <w:szCs w:val="32"/>
          <w:lang w:val="en-US" w:eastAsia="zh-CN"/>
        </w:rPr>
      </w:pPr>
      <w:r>
        <w:rPr>
          <w:rFonts w:ascii="宋体" w:hAnsi="宋体" w:eastAsia="宋体" w:cs="宋体"/>
          <w:sz w:val="24"/>
          <w:szCs w:val="24"/>
        </w:rPr>
        <w:drawing>
          <wp:inline distT="0" distB="0" distL="114300" distR="114300">
            <wp:extent cx="5557520" cy="5923915"/>
            <wp:effectExtent l="0" t="0" r="508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57520" cy="5923915"/>
                    </a:xfrm>
                    <a:prstGeom prst="rect">
                      <a:avLst/>
                    </a:prstGeom>
                    <a:noFill/>
                    <a:ln w="9525">
                      <a:noFill/>
                    </a:ln>
                  </pic:spPr>
                </pic:pic>
              </a:graphicData>
            </a:graphic>
          </wp:inline>
        </w:drawing>
      </w:r>
    </w:p>
    <w:p w14:paraId="47153D3F">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u w:val="none"/>
          <w:lang w:val="en-US" w:eastAsia="zh-CN"/>
        </w:rPr>
        <w:t>东至石桥路轮胎厂(含上畈村、石桥村、河东村部分地域)，西至新105国道共青德安交界处，南至共安大道与共青交界处(蒲亭镇辖区)，北至新105国道沿线宝塔乡境内(含八一村、团山村、岳山垅村)。</w:t>
      </w:r>
    </w:p>
    <w:p w14:paraId="160F097E">
      <w:pPr>
        <w:rPr>
          <w:color w:val="auto"/>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18B1CA-FA46-46E2-8DEB-F66A6E7599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04684F-B43C-4920-86F2-A884520BE384}"/>
  </w:font>
  <w:font w:name="方正小标宋简体">
    <w:panose1 w:val="02000000000000000000"/>
    <w:charset w:val="86"/>
    <w:family w:val="auto"/>
    <w:pitch w:val="default"/>
    <w:sig w:usb0="00000001" w:usb1="08000000" w:usb2="00000000" w:usb3="00000000" w:csb0="00040000" w:csb1="00000000"/>
    <w:embedRegular r:id="rId3" w:fontKey="{EBB4EF00-4D4B-4F60-8E69-786770323BF1}"/>
  </w:font>
  <w:font w:name="仿宋">
    <w:panose1 w:val="02010609060101010101"/>
    <w:charset w:val="86"/>
    <w:family w:val="modern"/>
    <w:pitch w:val="default"/>
    <w:sig w:usb0="800002BF" w:usb1="38CF7CFA" w:usb2="00000016" w:usb3="00000000" w:csb0="00040001" w:csb1="00000000"/>
    <w:embedRegular r:id="rId4" w:fontKey="{BA477547-B5D2-4890-877E-58433D8917E5}"/>
  </w:font>
  <w:font w:name="楷体">
    <w:panose1 w:val="02010609060101010101"/>
    <w:charset w:val="86"/>
    <w:family w:val="modern"/>
    <w:pitch w:val="default"/>
    <w:sig w:usb0="800002BF" w:usb1="38CF7CFA" w:usb2="00000016" w:usb3="00000000" w:csb0="00040001" w:csb1="00000000"/>
    <w:embedRegular r:id="rId5" w:fontKey="{50C504B8-606C-4F6C-B7BA-46B1EDE6E90F}"/>
  </w:font>
  <w:font w:name="仿宋_GB2312">
    <w:altName w:val="仿宋"/>
    <w:panose1 w:val="00000000000000000000"/>
    <w:charset w:val="00"/>
    <w:family w:val="auto"/>
    <w:pitch w:val="default"/>
    <w:sig w:usb0="00000000" w:usb1="00000000" w:usb2="00000000" w:usb3="00000000" w:csb0="00000000" w:csb1="00000000"/>
    <w:embedRegular r:id="rId6" w:fontKey="{03E64E4C-77DE-4753-80B8-78F2FCB73F0B}"/>
  </w:font>
  <w:font w:name="华文中宋">
    <w:altName w:val="宋体"/>
    <w:panose1 w:val="02010600040101010101"/>
    <w:charset w:val="86"/>
    <w:family w:val="auto"/>
    <w:pitch w:val="default"/>
    <w:sig w:usb0="00000000" w:usb1="00000000" w:usb2="00000000" w:usb3="00000000" w:csb0="0004009F" w:csb1="DFD70000"/>
    <w:embedRegular r:id="rId7" w:fontKey="{EF90E9AC-48DE-4916-BE2E-26009165D8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5283B"/>
    <w:rsid w:val="000C1FF9"/>
    <w:rsid w:val="00295680"/>
    <w:rsid w:val="00504391"/>
    <w:rsid w:val="0055283B"/>
    <w:rsid w:val="0078768E"/>
    <w:rsid w:val="007E465E"/>
    <w:rsid w:val="0081704D"/>
    <w:rsid w:val="00BB21BE"/>
    <w:rsid w:val="00F27B48"/>
    <w:rsid w:val="01995B0E"/>
    <w:rsid w:val="041B280B"/>
    <w:rsid w:val="05121E5F"/>
    <w:rsid w:val="073D1E77"/>
    <w:rsid w:val="07C03DF5"/>
    <w:rsid w:val="07D22B14"/>
    <w:rsid w:val="08314CF2"/>
    <w:rsid w:val="08C94F2B"/>
    <w:rsid w:val="08E27D9B"/>
    <w:rsid w:val="0A00497C"/>
    <w:rsid w:val="0A6C2012"/>
    <w:rsid w:val="0AE62C03"/>
    <w:rsid w:val="0BA53A2D"/>
    <w:rsid w:val="0C5C7E64"/>
    <w:rsid w:val="0C7E602C"/>
    <w:rsid w:val="0E653000"/>
    <w:rsid w:val="0ECD6DF7"/>
    <w:rsid w:val="10DE709A"/>
    <w:rsid w:val="114943D9"/>
    <w:rsid w:val="12575356"/>
    <w:rsid w:val="126A2A7E"/>
    <w:rsid w:val="13951544"/>
    <w:rsid w:val="142456C3"/>
    <w:rsid w:val="1666200B"/>
    <w:rsid w:val="16AA639C"/>
    <w:rsid w:val="18E37943"/>
    <w:rsid w:val="19693B3F"/>
    <w:rsid w:val="19C07C84"/>
    <w:rsid w:val="1AF5570C"/>
    <w:rsid w:val="1BC81072"/>
    <w:rsid w:val="1CCB0E1A"/>
    <w:rsid w:val="20C95670"/>
    <w:rsid w:val="210B3EDB"/>
    <w:rsid w:val="22BD2FB3"/>
    <w:rsid w:val="230B6414"/>
    <w:rsid w:val="24170DE9"/>
    <w:rsid w:val="248144B4"/>
    <w:rsid w:val="266F6CBA"/>
    <w:rsid w:val="26E66850"/>
    <w:rsid w:val="28E50522"/>
    <w:rsid w:val="29DB6414"/>
    <w:rsid w:val="29FD4F3C"/>
    <w:rsid w:val="2CEB4BC0"/>
    <w:rsid w:val="2D2D51D9"/>
    <w:rsid w:val="2D6A01DB"/>
    <w:rsid w:val="2E0917A2"/>
    <w:rsid w:val="2E6764C9"/>
    <w:rsid w:val="2F176141"/>
    <w:rsid w:val="2FE36023"/>
    <w:rsid w:val="304545E8"/>
    <w:rsid w:val="31D15F92"/>
    <w:rsid w:val="3200110E"/>
    <w:rsid w:val="32D61E6F"/>
    <w:rsid w:val="33BB353F"/>
    <w:rsid w:val="357A2F85"/>
    <w:rsid w:val="35CB37E1"/>
    <w:rsid w:val="38704B50"/>
    <w:rsid w:val="38C56C0D"/>
    <w:rsid w:val="38CF183A"/>
    <w:rsid w:val="39A12380"/>
    <w:rsid w:val="39B32F0A"/>
    <w:rsid w:val="3A35391F"/>
    <w:rsid w:val="3B2D00BB"/>
    <w:rsid w:val="3C215F09"/>
    <w:rsid w:val="3C44609B"/>
    <w:rsid w:val="3C6C2EE7"/>
    <w:rsid w:val="3D380F65"/>
    <w:rsid w:val="3D6B1F8E"/>
    <w:rsid w:val="3DD60F75"/>
    <w:rsid w:val="3DE418E4"/>
    <w:rsid w:val="3F010273"/>
    <w:rsid w:val="3F2A6715"/>
    <w:rsid w:val="3F485EA2"/>
    <w:rsid w:val="40BE466E"/>
    <w:rsid w:val="40D45C40"/>
    <w:rsid w:val="417C1E33"/>
    <w:rsid w:val="42B0448A"/>
    <w:rsid w:val="4364538A"/>
    <w:rsid w:val="437159C8"/>
    <w:rsid w:val="449A0F4E"/>
    <w:rsid w:val="457E4318"/>
    <w:rsid w:val="45F96148"/>
    <w:rsid w:val="46036BF8"/>
    <w:rsid w:val="462211FB"/>
    <w:rsid w:val="48F7696F"/>
    <w:rsid w:val="4A280DAA"/>
    <w:rsid w:val="4AB90145"/>
    <w:rsid w:val="4B83098E"/>
    <w:rsid w:val="4BD72A88"/>
    <w:rsid w:val="4CE332A2"/>
    <w:rsid w:val="50BE3073"/>
    <w:rsid w:val="50DB47D9"/>
    <w:rsid w:val="520A5BE6"/>
    <w:rsid w:val="52754DA9"/>
    <w:rsid w:val="52FE6B4C"/>
    <w:rsid w:val="53F71F19"/>
    <w:rsid w:val="55F83D27"/>
    <w:rsid w:val="576158FB"/>
    <w:rsid w:val="582D3BE8"/>
    <w:rsid w:val="58690F1F"/>
    <w:rsid w:val="5A07278A"/>
    <w:rsid w:val="5A4C63EF"/>
    <w:rsid w:val="5B294982"/>
    <w:rsid w:val="5B767BC7"/>
    <w:rsid w:val="5D107BA8"/>
    <w:rsid w:val="5E2004A9"/>
    <w:rsid w:val="5F630463"/>
    <w:rsid w:val="5F8403D9"/>
    <w:rsid w:val="5FD50C35"/>
    <w:rsid w:val="60987315"/>
    <w:rsid w:val="620B6B90"/>
    <w:rsid w:val="62410803"/>
    <w:rsid w:val="6270691C"/>
    <w:rsid w:val="667967BE"/>
    <w:rsid w:val="66D25ECE"/>
    <w:rsid w:val="67136C12"/>
    <w:rsid w:val="680D3662"/>
    <w:rsid w:val="684B5F38"/>
    <w:rsid w:val="68E5013A"/>
    <w:rsid w:val="6A885221"/>
    <w:rsid w:val="6C870A40"/>
    <w:rsid w:val="6C8E2897"/>
    <w:rsid w:val="6FA36659"/>
    <w:rsid w:val="6FDC62BB"/>
    <w:rsid w:val="70DA254F"/>
    <w:rsid w:val="72330169"/>
    <w:rsid w:val="72CE1FD6"/>
    <w:rsid w:val="74177616"/>
    <w:rsid w:val="764D5571"/>
    <w:rsid w:val="77311B44"/>
    <w:rsid w:val="788F2830"/>
    <w:rsid w:val="7A94376E"/>
    <w:rsid w:val="7AB45820"/>
    <w:rsid w:val="7AC34054"/>
    <w:rsid w:val="7B226FCC"/>
    <w:rsid w:val="7B454A69"/>
    <w:rsid w:val="7BF546E1"/>
    <w:rsid w:val="7CCD4D16"/>
    <w:rsid w:val="7D450D50"/>
    <w:rsid w:val="7D5E0064"/>
    <w:rsid w:val="7D943A85"/>
    <w:rsid w:val="7E68119A"/>
    <w:rsid w:val="7F7B4EFD"/>
    <w:rsid w:val="7FA1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6132</Words>
  <Characters>6162</Characters>
  <Lines>41</Lines>
  <Paragraphs>11</Paragraphs>
  <TotalTime>4</TotalTime>
  <ScaleCrop>false</ScaleCrop>
  <LinksUpToDate>false</LinksUpToDate>
  <CharactersWithSpaces>6170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哆啦A</cp:lastModifiedBy>
  <dcterms:modified xsi:type="dcterms:W3CDTF">2025-10-14T07:26:44Z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eyJoZGlkIjoiOTBhMjcyYmUyZGI0NzM2YjViOTIzMmUwMmNhOTljZjQiLCJ1c2VySWQiOiIzMjI3MzgxMTkifQ==</vt:lpwstr>
  </property>
  <property fmtid="{D5CDD505-2E9C-101B-9397-08002B2CF9AE}" pid="4" name="ICV">
    <vt:lpwstr>58B385A0007E47A3874D7C906366C999_12</vt:lpwstr>
  </property>
</Properties>
</file>