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39502">
      <w:pPr>
        <w:spacing w:line="600" w:lineRule="exact"/>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关于《德安县优化农村学校义务教育资源配置的工作方案》征求意见的公告</w:t>
      </w:r>
    </w:p>
    <w:p w14:paraId="5A9E0800">
      <w:pPr>
        <w:spacing w:line="600" w:lineRule="exact"/>
        <w:jc w:val="center"/>
        <w:rPr>
          <w:rFonts w:hint="eastAsia" w:ascii="仿宋" w:hAnsi="仿宋" w:eastAsia="仿宋" w:cs="仿宋"/>
          <w:color w:val="auto"/>
          <w:sz w:val="32"/>
          <w:szCs w:val="32"/>
          <w:lang w:val="en-US" w:eastAsia="zh-CN"/>
        </w:rPr>
      </w:pPr>
    </w:p>
    <w:p w14:paraId="349F8B69">
      <w:pPr>
        <w:pStyle w:val="6"/>
        <w:widowControl w:val="0"/>
        <w:spacing w:line="580" w:lineRule="exact"/>
        <w:ind w:left="2" w:right="14" w:firstLine="647"/>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为深入贯彻</w:t>
      </w:r>
      <w:r>
        <w:rPr>
          <w:rFonts w:hint="eastAsia" w:ascii="仿宋" w:hAnsi="仿宋" w:eastAsia="仿宋" w:cs="仿宋"/>
          <w:color w:val="auto"/>
          <w:sz w:val="32"/>
          <w:szCs w:val="32"/>
        </w:rPr>
        <w:t>落实党的二十大精神和习近平总书记考察江西重要讲话</w:t>
      </w:r>
      <w:r>
        <w:rPr>
          <w:rFonts w:hint="eastAsia" w:ascii="仿宋" w:hAnsi="仿宋" w:eastAsia="仿宋" w:cs="仿宋"/>
          <w:color w:val="auto"/>
          <w:sz w:val="32"/>
          <w:szCs w:val="32"/>
          <w:lang w:val="en-US" w:eastAsia="zh-CN"/>
        </w:rPr>
        <w:t>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以办好人民满意教育为出发点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以立德树人为根本任务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以优化县域义务教育资源配置为重点，以调整农村小规模学校为抓手，</w:t>
      </w:r>
      <w:r>
        <w:rPr>
          <w:rFonts w:hint="eastAsia" w:ascii="仿宋" w:hAnsi="仿宋" w:eastAsia="仿宋" w:cs="仿宋"/>
          <w:color w:val="auto"/>
          <w:sz w:val="32"/>
          <w:szCs w:val="32"/>
          <w:lang w:val="en-US" w:eastAsia="zh-CN"/>
        </w:rPr>
        <w:t>进一步</w:t>
      </w:r>
      <w:r>
        <w:rPr>
          <w:rFonts w:hint="eastAsia" w:ascii="仿宋" w:hAnsi="仿宋" w:eastAsia="仿宋" w:cs="仿宋"/>
          <w:color w:val="auto"/>
          <w:sz w:val="32"/>
          <w:szCs w:val="32"/>
        </w:rPr>
        <w:t>优化农村学校布局，提高教学质量和水平，持续缩小</w:t>
      </w:r>
      <w:r>
        <w:rPr>
          <w:rFonts w:hint="eastAsia" w:ascii="仿宋" w:hAnsi="仿宋" w:eastAsia="仿宋" w:cs="仿宋"/>
          <w:color w:val="auto"/>
          <w:sz w:val="32"/>
          <w:szCs w:val="32"/>
          <w:lang w:val="en-US" w:eastAsia="zh-CN"/>
        </w:rPr>
        <w:t>县域</w:t>
      </w:r>
      <w:r>
        <w:rPr>
          <w:rFonts w:hint="eastAsia" w:ascii="仿宋" w:hAnsi="仿宋" w:eastAsia="仿宋" w:cs="仿宋"/>
          <w:color w:val="auto"/>
          <w:sz w:val="32"/>
          <w:szCs w:val="32"/>
        </w:rPr>
        <w:t>城乡</w:t>
      </w:r>
      <w:r>
        <w:rPr>
          <w:rFonts w:hint="eastAsia" w:ascii="仿宋" w:hAnsi="仿宋" w:eastAsia="仿宋" w:cs="仿宋"/>
          <w:color w:val="auto"/>
          <w:sz w:val="32"/>
          <w:szCs w:val="32"/>
          <w:lang w:val="en-US" w:eastAsia="zh-CN"/>
        </w:rPr>
        <w:t>义务教育</w:t>
      </w:r>
      <w:r>
        <w:rPr>
          <w:rFonts w:hint="eastAsia" w:ascii="仿宋" w:hAnsi="仿宋" w:eastAsia="仿宋" w:cs="仿宋"/>
          <w:color w:val="auto"/>
          <w:sz w:val="32"/>
          <w:szCs w:val="32"/>
        </w:rPr>
        <w:t>学校差距，让农村学生享有更加公平、更高质量的教育，</w:t>
      </w:r>
      <w:r>
        <w:rPr>
          <w:rFonts w:hint="eastAsia" w:ascii="仿宋" w:hAnsi="仿宋" w:eastAsia="仿宋" w:cs="仿宋"/>
          <w:color w:val="auto"/>
          <w:sz w:val="32"/>
          <w:szCs w:val="32"/>
          <w:lang w:val="en-US" w:eastAsia="zh-CN"/>
        </w:rPr>
        <w:t>全面巩固我县</w:t>
      </w:r>
      <w:r>
        <w:rPr>
          <w:rFonts w:hint="eastAsia" w:ascii="仿宋" w:hAnsi="仿宋" w:eastAsia="仿宋" w:cs="仿宋"/>
          <w:color w:val="auto"/>
          <w:sz w:val="32"/>
          <w:szCs w:val="32"/>
        </w:rPr>
        <w:t>义务教育优质均衡发展</w:t>
      </w:r>
      <w:r>
        <w:rPr>
          <w:rFonts w:hint="eastAsia" w:ascii="仿宋" w:hAnsi="仿宋" w:eastAsia="仿宋" w:cs="仿宋"/>
          <w:color w:val="auto"/>
          <w:sz w:val="32"/>
          <w:szCs w:val="32"/>
          <w:lang w:val="en-US" w:eastAsia="zh-CN"/>
        </w:rPr>
        <w:t>成果</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根据</w:t>
      </w:r>
      <w:r>
        <w:rPr>
          <w:rFonts w:ascii="Times New Roman" w:hAnsi="Times New Roman" w:eastAsia="仿宋_GB2312" w:cs="Times New Roman"/>
          <w:color w:val="auto"/>
          <w:sz w:val="32"/>
          <w:szCs w:val="32"/>
        </w:rPr>
        <w:t>省委、省政府决策部署和省委教育工委、省教育厅工作安排</w:t>
      </w:r>
      <w:r>
        <w:rPr>
          <w:rFonts w:hint="eastAsia" w:ascii="Times New Roman" w:hAnsi="Times New Roman" w:eastAsia="仿宋_GB2312" w:cs="Times New Roman"/>
          <w:color w:val="auto"/>
          <w:sz w:val="32"/>
          <w:szCs w:val="32"/>
          <w:lang w:val="en-US" w:eastAsia="zh-CN"/>
        </w:rPr>
        <w:t>及</w:t>
      </w:r>
      <w:r>
        <w:rPr>
          <w:rFonts w:ascii="Times New Roman" w:hAnsi="Times New Roman" w:eastAsia="仿宋_GB2312" w:cs="Times New Roman"/>
          <w:color w:val="auto"/>
          <w:sz w:val="32"/>
          <w:szCs w:val="32"/>
        </w:rPr>
        <w:t>《九江市优化县域义务教育资源配置工作实施方案》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九府办发〔2023〕37号</w:t>
      </w:r>
      <w:r>
        <w:rPr>
          <w:rFonts w:hint="eastAsia" w:ascii="Times New Roman"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rPr>
        <w:t>要求，结合我县工作实际，</w:t>
      </w:r>
      <w:r>
        <w:rPr>
          <w:rFonts w:hint="eastAsia" w:ascii="仿宋" w:hAnsi="仿宋" w:eastAsia="仿宋" w:cs="仿宋"/>
          <w:color w:val="auto"/>
          <w:sz w:val="32"/>
          <w:szCs w:val="32"/>
          <w:lang w:val="en-US" w:eastAsia="zh-CN"/>
        </w:rPr>
        <w:t>我</w:t>
      </w:r>
      <w:r>
        <w:rPr>
          <w:rFonts w:hint="eastAsia" w:cs="仿宋"/>
          <w:color w:val="auto"/>
          <w:sz w:val="32"/>
          <w:szCs w:val="32"/>
          <w:lang w:val="en-US" w:eastAsia="zh-CN"/>
        </w:rPr>
        <w:t>局</w:t>
      </w:r>
      <w:r>
        <w:rPr>
          <w:rFonts w:hint="eastAsia" w:ascii="仿宋" w:hAnsi="仿宋" w:eastAsia="仿宋" w:cs="仿宋"/>
          <w:color w:val="auto"/>
          <w:sz w:val="32"/>
          <w:szCs w:val="32"/>
          <w:lang w:val="en-US" w:eastAsia="zh-CN"/>
        </w:rPr>
        <w:t>起草出台了《德安县优化农村学校义务教育资源配置的工作方案（征求意见稿）》</w:t>
      </w:r>
      <w:r>
        <w:rPr>
          <w:rFonts w:hint="eastAsia" w:cs="仿宋"/>
          <w:color w:val="auto"/>
          <w:sz w:val="32"/>
          <w:szCs w:val="32"/>
          <w:lang w:val="en-US" w:eastAsia="zh-CN"/>
        </w:rPr>
        <w:t>，</w:t>
      </w:r>
      <w:r>
        <w:rPr>
          <w:rFonts w:hint="eastAsia" w:ascii="仿宋" w:hAnsi="仿宋" w:eastAsia="仿宋" w:cs="仿宋"/>
          <w:color w:val="auto"/>
          <w:sz w:val="32"/>
          <w:szCs w:val="32"/>
          <w:lang w:val="en-US" w:eastAsia="zh-CN"/>
        </w:rPr>
        <w:t>现向社会公开征求意见。</w:t>
      </w:r>
    </w:p>
    <w:p w14:paraId="4604A265">
      <w:pPr>
        <w:pStyle w:val="6"/>
        <w:widowControl w:val="0"/>
        <w:spacing w:line="580" w:lineRule="exact"/>
        <w:ind w:left="2" w:right="14" w:firstLine="647"/>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本次公开征求意见的时间为2025年</w:t>
      </w:r>
      <w:r>
        <w:rPr>
          <w:rFonts w:hint="eastAsia" w:cs="仿宋"/>
          <w:color w:val="auto"/>
          <w:sz w:val="32"/>
          <w:szCs w:val="32"/>
          <w:lang w:val="en-US" w:eastAsia="zh-CN"/>
        </w:rPr>
        <w:t>7</w:t>
      </w:r>
      <w:r>
        <w:rPr>
          <w:rFonts w:hint="eastAsia" w:ascii="仿宋" w:hAnsi="仿宋" w:eastAsia="仿宋" w:cs="仿宋"/>
          <w:color w:val="auto"/>
          <w:sz w:val="32"/>
          <w:szCs w:val="32"/>
          <w:lang w:val="en-US" w:eastAsia="zh-CN"/>
        </w:rPr>
        <w:t>月</w:t>
      </w:r>
      <w:r>
        <w:rPr>
          <w:rFonts w:hint="eastAsia" w:cs="仿宋"/>
          <w:color w:val="auto"/>
          <w:sz w:val="32"/>
          <w:szCs w:val="32"/>
          <w:lang w:val="en-US" w:eastAsia="zh-CN"/>
        </w:rPr>
        <w:t>2</w:t>
      </w:r>
      <w:r>
        <w:rPr>
          <w:rFonts w:hint="eastAsia" w:ascii="仿宋" w:hAnsi="仿宋" w:eastAsia="仿宋" w:cs="仿宋"/>
          <w:color w:val="auto"/>
          <w:sz w:val="32"/>
          <w:szCs w:val="32"/>
          <w:lang w:val="en-US" w:eastAsia="zh-CN"/>
        </w:rPr>
        <w:t>日至2025年</w:t>
      </w:r>
      <w:r>
        <w:rPr>
          <w:rFonts w:hint="eastAsia" w:cs="仿宋"/>
          <w:color w:val="auto"/>
          <w:sz w:val="32"/>
          <w:szCs w:val="32"/>
          <w:lang w:val="en-US" w:eastAsia="zh-CN"/>
        </w:rPr>
        <w:t>8</w:t>
      </w:r>
      <w:r>
        <w:rPr>
          <w:rFonts w:hint="eastAsia" w:ascii="仿宋" w:hAnsi="仿宋" w:eastAsia="仿宋" w:cs="仿宋"/>
          <w:color w:val="auto"/>
          <w:sz w:val="32"/>
          <w:szCs w:val="32"/>
          <w:lang w:val="en-US" w:eastAsia="zh-CN"/>
        </w:rPr>
        <w:t>月</w:t>
      </w:r>
      <w:r>
        <w:rPr>
          <w:rFonts w:hint="eastAsia" w:cs="仿宋"/>
          <w:color w:val="auto"/>
          <w:sz w:val="32"/>
          <w:szCs w:val="32"/>
          <w:lang w:val="en-US" w:eastAsia="zh-CN"/>
        </w:rPr>
        <w:t>2</w:t>
      </w:r>
      <w:r>
        <w:rPr>
          <w:rFonts w:hint="eastAsia" w:ascii="仿宋" w:hAnsi="仿宋" w:eastAsia="仿宋" w:cs="仿宋"/>
          <w:color w:val="auto"/>
          <w:sz w:val="32"/>
          <w:szCs w:val="32"/>
          <w:lang w:val="en-US" w:eastAsia="zh-CN"/>
        </w:rPr>
        <w:t>日。有关单位和个人可以将意见反馈至电子邮箱：d</w:t>
      </w:r>
      <w:r>
        <w:rPr>
          <w:rFonts w:hint="eastAsia" w:cs="仿宋"/>
          <w:color w:val="auto"/>
          <w:sz w:val="32"/>
          <w:szCs w:val="32"/>
          <w:lang w:val="en-US" w:eastAsia="zh-CN"/>
        </w:rPr>
        <w:t>ajtjjyg</w:t>
      </w:r>
      <w:r>
        <w:rPr>
          <w:rFonts w:hint="eastAsia" w:ascii="仿宋" w:hAnsi="仿宋" w:eastAsia="仿宋" w:cs="仿宋"/>
          <w:color w:val="auto"/>
          <w:sz w:val="32"/>
          <w:szCs w:val="32"/>
          <w:lang w:val="en-US" w:eastAsia="zh-CN"/>
        </w:rPr>
        <w:t>@</w:t>
      </w:r>
      <w:r>
        <w:rPr>
          <w:rFonts w:hint="eastAsia" w:cs="仿宋"/>
          <w:color w:val="auto"/>
          <w:sz w:val="32"/>
          <w:szCs w:val="32"/>
          <w:lang w:val="en-US" w:eastAsia="zh-CN"/>
        </w:rPr>
        <w:t>163</w:t>
      </w:r>
      <w:r>
        <w:rPr>
          <w:rFonts w:hint="eastAsia" w:ascii="仿宋" w:hAnsi="仿宋" w:eastAsia="仿宋" w:cs="仿宋"/>
          <w:color w:val="auto"/>
          <w:sz w:val="32"/>
          <w:szCs w:val="32"/>
          <w:lang w:val="en-US" w:eastAsia="zh-CN"/>
        </w:rPr>
        <w:t>.com</w:t>
      </w:r>
      <w:r>
        <w:rPr>
          <w:rFonts w:hint="eastAsia" w:cs="仿宋"/>
          <w:color w:val="auto"/>
          <w:sz w:val="32"/>
          <w:szCs w:val="32"/>
          <w:lang w:val="en-US" w:eastAsia="zh-CN"/>
        </w:rPr>
        <w:t>。</w:t>
      </w:r>
    </w:p>
    <w:p w14:paraId="4D555494">
      <w:pPr>
        <w:spacing w:line="600" w:lineRule="exact"/>
        <w:jc w:val="center"/>
        <w:rPr>
          <w:rFonts w:hint="eastAsia" w:ascii="仿宋" w:hAnsi="仿宋" w:eastAsia="仿宋" w:cs="仿宋"/>
          <w:color w:val="auto"/>
          <w:sz w:val="32"/>
          <w:szCs w:val="32"/>
          <w:lang w:val="en-US" w:eastAsia="zh-CN"/>
        </w:rPr>
      </w:pPr>
    </w:p>
    <w:p w14:paraId="4CA9FA41">
      <w:pPr>
        <w:spacing w:line="600" w:lineRule="exact"/>
        <w:jc w:val="center"/>
        <w:rPr>
          <w:rFonts w:hint="eastAsia" w:ascii="仿宋" w:hAnsi="仿宋" w:eastAsia="仿宋" w:cs="仿宋"/>
          <w:color w:val="auto"/>
          <w:sz w:val="32"/>
          <w:szCs w:val="32"/>
          <w:lang w:val="en-US" w:eastAsia="zh-CN"/>
        </w:rPr>
      </w:pPr>
    </w:p>
    <w:p w14:paraId="40610746">
      <w:pPr>
        <w:spacing w:line="600" w:lineRule="exact"/>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联系人：德安县教育体育局教育管理股</w:t>
      </w:r>
    </w:p>
    <w:p w14:paraId="7104518A">
      <w:pPr>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仿宋" w:hAnsi="仿宋" w:eastAsia="仿宋" w:cs="仿宋"/>
          <w:color w:val="auto"/>
          <w:sz w:val="32"/>
          <w:szCs w:val="32"/>
          <w:lang w:val="en-US" w:eastAsia="zh-CN"/>
        </w:rPr>
        <w:t xml:space="preserve">                    联系电话：4332256</w:t>
      </w:r>
    </w:p>
    <w:p w14:paraId="6BBC61CD">
      <w:pPr>
        <w:spacing w:line="600" w:lineRule="exact"/>
        <w:jc w:val="center"/>
        <w:rPr>
          <w:rFonts w:hint="eastAsia" w:ascii="方正小标宋简体" w:hAnsi="方正小标宋简体" w:eastAsia="方正小标宋简体" w:cs="方正小标宋简体"/>
          <w:color w:val="auto"/>
          <w:sz w:val="44"/>
          <w:szCs w:val="44"/>
          <w:lang w:val="en-US" w:eastAsia="zh-CN"/>
        </w:rPr>
      </w:pPr>
    </w:p>
    <w:p w14:paraId="29FA30FB">
      <w:pPr>
        <w:spacing w:line="600" w:lineRule="exact"/>
        <w:jc w:val="center"/>
        <w:rPr>
          <w:rFonts w:hint="eastAsia" w:ascii="方正小标宋简体" w:hAnsi="方正小标宋简体" w:eastAsia="方正小标宋简体" w:cs="方正小标宋简体"/>
          <w:color w:val="auto"/>
          <w:sz w:val="44"/>
          <w:szCs w:val="44"/>
          <w:lang w:val="en-US" w:eastAsia="zh-CN"/>
        </w:rPr>
      </w:pPr>
    </w:p>
    <w:p w14:paraId="7376C275">
      <w:pPr>
        <w:spacing w:line="600" w:lineRule="exact"/>
        <w:jc w:val="center"/>
        <w:rPr>
          <w:rFonts w:hint="eastAsia" w:ascii="方正小标宋简体" w:hAnsi="方正小标宋简体" w:eastAsia="方正小标宋简体" w:cs="方正小标宋简体"/>
          <w:color w:val="auto"/>
          <w:sz w:val="44"/>
          <w:szCs w:val="44"/>
          <w:lang w:val="en-US" w:eastAsia="zh-CN"/>
        </w:rPr>
      </w:pPr>
    </w:p>
    <w:p w14:paraId="502E1895">
      <w:pPr>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德安县优化农村学校义务教育资源配置的</w:t>
      </w:r>
    </w:p>
    <w:p w14:paraId="151A971D">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工作方案</w:t>
      </w:r>
      <w:r>
        <w:rPr>
          <w:rFonts w:hint="eastAsia" w:ascii="方正小标宋简体" w:hAnsi="方正小标宋简体" w:eastAsia="方正小标宋简体" w:cs="方正小标宋简体"/>
          <w:color w:val="auto"/>
          <w:sz w:val="44"/>
          <w:szCs w:val="44"/>
          <w:lang w:eastAsia="zh-CN"/>
        </w:rPr>
        <w:t>（征求意见稿）</w:t>
      </w:r>
    </w:p>
    <w:p w14:paraId="7EE1DF0C">
      <w:pPr>
        <w:pStyle w:val="6"/>
        <w:spacing w:line="600" w:lineRule="exact"/>
        <w:ind w:left="1" w:right="105" w:firstLine="653"/>
        <w:jc w:val="both"/>
        <w:rPr>
          <w:rFonts w:ascii="Times New Roman" w:hAnsi="Times New Roman" w:eastAsia="仿宋_GB2312" w:cs="Times New Roman"/>
          <w:color w:val="auto"/>
          <w:sz w:val="32"/>
          <w:szCs w:val="32"/>
        </w:rPr>
      </w:pPr>
    </w:p>
    <w:p w14:paraId="34D91828">
      <w:pPr>
        <w:pStyle w:val="6"/>
        <w:widowControl w:val="0"/>
        <w:spacing w:line="580" w:lineRule="exact"/>
        <w:ind w:left="1" w:right="-89" w:firstLine="653"/>
        <w:jc w:val="both"/>
        <w:rPr>
          <w:color w:val="auto"/>
        </w:rPr>
      </w:pPr>
      <w:r>
        <w:rPr>
          <w:rFonts w:ascii="Times New Roman" w:hAnsi="Times New Roman" w:eastAsia="仿宋_GB2312" w:cs="Times New Roman"/>
          <w:color w:val="auto"/>
          <w:sz w:val="32"/>
          <w:szCs w:val="32"/>
        </w:rPr>
        <w:t>为切实解决</w:t>
      </w:r>
      <w:r>
        <w:rPr>
          <w:rFonts w:hint="eastAsia" w:ascii="Times New Roman" w:hAnsi="Times New Roman" w:eastAsia="仿宋_GB2312" w:cs="Times New Roman"/>
          <w:color w:val="auto"/>
          <w:sz w:val="32"/>
          <w:szCs w:val="32"/>
          <w:lang w:val="en-US" w:eastAsia="zh-CN"/>
        </w:rPr>
        <w:t>我县</w:t>
      </w:r>
      <w:r>
        <w:rPr>
          <w:rFonts w:ascii="Times New Roman" w:hAnsi="Times New Roman" w:eastAsia="仿宋_GB2312" w:cs="Times New Roman"/>
          <w:color w:val="auto"/>
          <w:sz w:val="32"/>
          <w:szCs w:val="32"/>
        </w:rPr>
        <w:t>农村小规模学校发展面临的</w:t>
      </w:r>
      <w:r>
        <w:rPr>
          <w:rFonts w:hint="eastAsia" w:ascii="Times New Roman" w:hAnsi="Times New Roman" w:eastAsia="仿宋_GB2312" w:cs="Times New Roman"/>
          <w:color w:val="auto"/>
          <w:sz w:val="32"/>
          <w:szCs w:val="32"/>
          <w:lang w:eastAsia="zh-CN"/>
        </w:rPr>
        <w:t>“空心化”等</w:t>
      </w:r>
      <w:r>
        <w:rPr>
          <w:rFonts w:ascii="Times New Roman" w:hAnsi="Times New Roman" w:eastAsia="仿宋_GB2312" w:cs="Times New Roman"/>
          <w:color w:val="auto"/>
          <w:sz w:val="32"/>
          <w:szCs w:val="32"/>
        </w:rPr>
        <w:t>问题</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加快</w:t>
      </w:r>
      <w:r>
        <w:rPr>
          <w:rFonts w:hint="eastAsia" w:ascii="Times New Roman" w:hAnsi="Times New Roman" w:eastAsia="仿宋_GB2312" w:cs="Times New Roman"/>
          <w:color w:val="auto"/>
          <w:sz w:val="32"/>
          <w:szCs w:val="32"/>
          <w:lang w:eastAsia="zh-CN"/>
        </w:rPr>
        <w:t>推进</w:t>
      </w:r>
      <w:r>
        <w:rPr>
          <w:rFonts w:hint="eastAsia" w:ascii="Times New Roman" w:hAnsi="Times New Roman" w:eastAsia="仿宋_GB2312" w:cs="Times New Roman"/>
          <w:color w:val="auto"/>
          <w:sz w:val="32"/>
          <w:szCs w:val="32"/>
          <w:lang w:val="en-US" w:eastAsia="zh-CN"/>
        </w:rPr>
        <w:t>全县</w:t>
      </w:r>
      <w:r>
        <w:rPr>
          <w:rFonts w:ascii="Times New Roman" w:hAnsi="Times New Roman" w:eastAsia="仿宋_GB2312" w:cs="Times New Roman"/>
          <w:color w:val="auto"/>
          <w:sz w:val="32"/>
          <w:szCs w:val="32"/>
        </w:rPr>
        <w:t>义务教育优质均衡和城乡</w:t>
      </w:r>
      <w:r>
        <w:rPr>
          <w:rFonts w:hint="eastAsia" w:ascii="Times New Roman" w:hAnsi="Times New Roman" w:eastAsia="仿宋_GB2312" w:cs="Times New Roman"/>
          <w:color w:val="auto"/>
          <w:sz w:val="32"/>
          <w:szCs w:val="32"/>
          <w:lang w:eastAsia="zh-CN"/>
        </w:rPr>
        <w:t>教育</w:t>
      </w:r>
      <w:r>
        <w:rPr>
          <w:rFonts w:ascii="Times New Roman" w:hAnsi="Times New Roman" w:eastAsia="仿宋_GB2312" w:cs="Times New Roman"/>
          <w:color w:val="auto"/>
          <w:sz w:val="32"/>
          <w:szCs w:val="32"/>
        </w:rPr>
        <w:t>一体化发展，让农村学生</w:t>
      </w:r>
      <w:r>
        <w:rPr>
          <w:rFonts w:hint="eastAsia" w:ascii="Times New Roman" w:hAnsi="Times New Roman" w:eastAsia="仿宋_GB2312" w:cs="Times New Roman"/>
          <w:color w:val="auto"/>
          <w:sz w:val="32"/>
          <w:szCs w:val="32"/>
          <w:lang w:val="en-US" w:eastAsia="zh-CN"/>
        </w:rPr>
        <w:t>能够</w:t>
      </w:r>
      <w:r>
        <w:rPr>
          <w:rFonts w:ascii="Times New Roman" w:hAnsi="Times New Roman" w:eastAsia="仿宋_GB2312" w:cs="Times New Roman"/>
          <w:color w:val="auto"/>
          <w:sz w:val="32"/>
          <w:szCs w:val="32"/>
        </w:rPr>
        <w:t>享有更加公平优质的教育，根据省委、省政府决策部署和省委教育工委、省教育厅工作安排</w:t>
      </w:r>
      <w:r>
        <w:rPr>
          <w:rFonts w:hint="eastAsia" w:ascii="Times New Roman" w:hAnsi="Times New Roman" w:eastAsia="仿宋_GB2312" w:cs="Times New Roman"/>
          <w:color w:val="auto"/>
          <w:sz w:val="32"/>
          <w:szCs w:val="32"/>
          <w:lang w:val="en-US" w:eastAsia="zh-CN"/>
        </w:rPr>
        <w:t>及</w:t>
      </w:r>
      <w:r>
        <w:rPr>
          <w:rFonts w:ascii="Times New Roman" w:hAnsi="Times New Roman" w:eastAsia="仿宋_GB2312" w:cs="Times New Roman"/>
          <w:color w:val="auto"/>
          <w:sz w:val="32"/>
          <w:szCs w:val="32"/>
        </w:rPr>
        <w:t>《九江市优化县域义务教育资源配置工作实施方案》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九府办发〔2023〕37号</w:t>
      </w:r>
      <w:r>
        <w:rPr>
          <w:rFonts w:hint="eastAsia" w:ascii="Times New Roman"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rPr>
        <w:t>要求，结合我县工作实际，特制定本</w:t>
      </w:r>
      <w:r>
        <w:rPr>
          <w:rFonts w:hint="eastAsia" w:ascii="Times New Roman"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rPr>
        <w:t>方案。</w:t>
      </w:r>
    </w:p>
    <w:p w14:paraId="48CF9754">
      <w:pPr>
        <w:widowControl w:val="0"/>
        <w:spacing w:line="580" w:lineRule="exact"/>
        <w:ind w:left="640"/>
        <w:jc w:val="both"/>
        <w:rPr>
          <w:rFonts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、指导思想</w:t>
      </w:r>
    </w:p>
    <w:p w14:paraId="2C667E7B">
      <w:pPr>
        <w:pStyle w:val="6"/>
        <w:widowControl w:val="0"/>
        <w:spacing w:line="580" w:lineRule="exact"/>
        <w:ind w:left="1" w:right="-89" w:firstLine="653"/>
        <w:jc w:val="both"/>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rPr>
        <w:t>坚持以习近平新时代中国特色社会主义思想为指导，全面贯彻落实党的二十大精神和习近平总书记考察江西重要讲话</w:t>
      </w:r>
      <w:r>
        <w:rPr>
          <w:rFonts w:hint="eastAsia" w:ascii="Times New Roman" w:hAnsi="Times New Roman" w:eastAsia="仿宋_GB2312" w:cs="Times New Roman"/>
          <w:color w:val="auto"/>
          <w:sz w:val="32"/>
          <w:szCs w:val="32"/>
          <w:lang w:val="en-US" w:eastAsia="zh-CN"/>
        </w:rPr>
        <w:t>精神</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以办好人民满意教育为出发点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以立德树人为根本任务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以优化县域义务教育资源配置为重点，以调整农村小规模学校为抓手，</w:t>
      </w:r>
      <w:r>
        <w:rPr>
          <w:rFonts w:hint="eastAsia" w:ascii="Times New Roman" w:hAnsi="Times New Roman" w:eastAsia="仿宋_GB2312" w:cs="Times New Roman"/>
          <w:color w:val="auto"/>
          <w:sz w:val="32"/>
          <w:szCs w:val="32"/>
          <w:lang w:val="en-US" w:eastAsia="zh-CN"/>
        </w:rPr>
        <w:t>进一步</w:t>
      </w:r>
      <w:r>
        <w:rPr>
          <w:rFonts w:hint="eastAsia" w:ascii="Times New Roman" w:hAnsi="Times New Roman" w:eastAsia="仿宋_GB2312" w:cs="Times New Roman"/>
          <w:color w:val="auto"/>
          <w:sz w:val="32"/>
          <w:szCs w:val="32"/>
        </w:rPr>
        <w:t>优化农村学校布局，提高教学质量和水平，持续缩小</w:t>
      </w:r>
      <w:r>
        <w:rPr>
          <w:rFonts w:hint="eastAsia" w:ascii="Times New Roman" w:hAnsi="Times New Roman" w:eastAsia="仿宋_GB2312" w:cs="Times New Roman"/>
          <w:color w:val="auto"/>
          <w:sz w:val="32"/>
          <w:szCs w:val="32"/>
          <w:lang w:val="en-US" w:eastAsia="zh-CN"/>
        </w:rPr>
        <w:t>县域</w:t>
      </w:r>
      <w:r>
        <w:rPr>
          <w:rFonts w:hint="eastAsia" w:ascii="Times New Roman" w:hAnsi="Times New Roman" w:eastAsia="仿宋_GB2312" w:cs="Times New Roman"/>
          <w:color w:val="auto"/>
          <w:sz w:val="32"/>
          <w:szCs w:val="32"/>
        </w:rPr>
        <w:t>城乡</w:t>
      </w:r>
      <w:r>
        <w:rPr>
          <w:rFonts w:hint="eastAsia" w:ascii="Times New Roman" w:hAnsi="Times New Roman" w:eastAsia="仿宋_GB2312" w:cs="Times New Roman"/>
          <w:color w:val="auto"/>
          <w:sz w:val="32"/>
          <w:szCs w:val="32"/>
          <w:lang w:val="en-US" w:eastAsia="zh-CN"/>
        </w:rPr>
        <w:t>义务教育</w:t>
      </w:r>
      <w:r>
        <w:rPr>
          <w:rFonts w:hint="eastAsia" w:ascii="Times New Roman" w:hAnsi="Times New Roman" w:eastAsia="仿宋_GB2312" w:cs="Times New Roman"/>
          <w:color w:val="auto"/>
          <w:sz w:val="32"/>
          <w:szCs w:val="32"/>
        </w:rPr>
        <w:t>学校差距，让农村学生享有更加公平、更高质量的教育，</w:t>
      </w:r>
      <w:r>
        <w:rPr>
          <w:rFonts w:hint="eastAsia" w:ascii="Times New Roman" w:hAnsi="Times New Roman" w:eastAsia="仿宋_GB2312" w:cs="Times New Roman"/>
          <w:color w:val="auto"/>
          <w:sz w:val="32"/>
          <w:szCs w:val="32"/>
          <w:lang w:val="en-US" w:eastAsia="zh-CN"/>
        </w:rPr>
        <w:t>全面巩固我县</w:t>
      </w:r>
      <w:r>
        <w:rPr>
          <w:rFonts w:hint="eastAsia" w:ascii="Times New Roman" w:hAnsi="Times New Roman" w:eastAsia="仿宋_GB2312" w:cs="Times New Roman"/>
          <w:color w:val="auto"/>
          <w:sz w:val="32"/>
          <w:szCs w:val="32"/>
        </w:rPr>
        <w:t>义务教育优质均衡发展</w:t>
      </w:r>
      <w:r>
        <w:rPr>
          <w:rFonts w:hint="eastAsia" w:ascii="Times New Roman" w:hAnsi="Times New Roman" w:eastAsia="仿宋_GB2312" w:cs="Times New Roman"/>
          <w:color w:val="auto"/>
          <w:sz w:val="32"/>
          <w:szCs w:val="32"/>
          <w:lang w:val="en-US" w:eastAsia="zh-CN"/>
        </w:rPr>
        <w:t>成果</w:t>
      </w:r>
      <w:r>
        <w:rPr>
          <w:rFonts w:hint="eastAsia" w:ascii="Times New Roman" w:hAnsi="Times New Roman" w:eastAsia="仿宋_GB2312" w:cs="Times New Roman"/>
          <w:color w:val="auto"/>
          <w:sz w:val="32"/>
          <w:szCs w:val="32"/>
        </w:rPr>
        <w:t>。</w:t>
      </w:r>
    </w:p>
    <w:p w14:paraId="5CB863C5">
      <w:pPr>
        <w:pStyle w:val="6"/>
        <w:widowControl w:val="0"/>
        <w:numPr>
          <w:ilvl w:val="0"/>
          <w:numId w:val="1"/>
        </w:numPr>
        <w:spacing w:line="580" w:lineRule="exact"/>
        <w:ind w:left="2" w:right="14" w:firstLine="647"/>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基本情况</w:t>
      </w:r>
    </w:p>
    <w:p w14:paraId="52C64692">
      <w:pPr>
        <w:pStyle w:val="6"/>
        <w:widowControl w:val="0"/>
        <w:spacing w:line="580" w:lineRule="exact"/>
        <w:ind w:left="1" w:right="-89" w:firstLine="653"/>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近年来随着我县城镇化进程的不断加快，</w:t>
      </w:r>
      <w:r>
        <w:rPr>
          <w:rFonts w:hint="eastAsia" w:ascii="Times New Roman" w:hAnsi="Times New Roman" w:eastAsia="仿宋_GB2312" w:cs="Times New Roman"/>
          <w:color w:val="auto"/>
          <w:sz w:val="32"/>
          <w:szCs w:val="32"/>
        </w:rPr>
        <w:t>农村</w:t>
      </w:r>
      <w:r>
        <w:rPr>
          <w:rFonts w:hint="eastAsia" w:ascii="Times New Roman" w:hAnsi="Times New Roman" w:eastAsia="仿宋_GB2312" w:cs="Times New Roman"/>
          <w:color w:val="auto"/>
          <w:sz w:val="32"/>
          <w:szCs w:val="32"/>
          <w:lang w:val="en-US" w:eastAsia="zh-CN"/>
        </w:rPr>
        <w:t>学校办学规模日趋缩小。目前，学生人数在</w:t>
      </w:r>
      <w:r>
        <w:rPr>
          <w:rFonts w:hint="eastAsia" w:ascii="Times New Roman" w:hAnsi="Times New Roman" w:eastAsia="仿宋_GB2312" w:cs="Times New Roman"/>
          <w:color w:val="auto"/>
          <w:sz w:val="32"/>
          <w:szCs w:val="32"/>
        </w:rPr>
        <w:t>100人以下的</w:t>
      </w:r>
      <w:r>
        <w:rPr>
          <w:rFonts w:hint="eastAsia" w:ascii="Times New Roman" w:hAnsi="Times New Roman" w:eastAsia="仿宋_GB2312" w:cs="Times New Roman"/>
          <w:color w:val="auto"/>
          <w:sz w:val="32"/>
          <w:szCs w:val="32"/>
          <w:lang w:val="en-US" w:eastAsia="zh-CN"/>
        </w:rPr>
        <w:t>学校</w:t>
      </w:r>
      <w:r>
        <w:rPr>
          <w:rFonts w:hint="eastAsia" w:ascii="Times New Roman" w:hAnsi="Times New Roman" w:eastAsia="仿宋_GB2312" w:cs="Times New Roman"/>
          <w:color w:val="auto"/>
          <w:sz w:val="32"/>
          <w:szCs w:val="32"/>
        </w:rPr>
        <w:t>共有</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 xml:space="preserve"> 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其中聂桥镇九年一贯制学校（以下简称为聂桥学校）和高塘乡九年一贯制学校（以下简称为高塘学校）在今年秋季开学时学生人数分别为42人、40人。</w:t>
      </w:r>
    </w:p>
    <w:p w14:paraId="5D2185D6">
      <w:pPr>
        <w:pStyle w:val="6"/>
        <w:widowControl w:val="0"/>
        <w:spacing w:line="580" w:lineRule="exact"/>
        <w:ind w:left="1" w:right="-89" w:firstLine="653"/>
        <w:jc w:val="both"/>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根据《九江市优化县域义务教育资源配置工作实施方案 》（九府办发〔2023〕37号）关于“鼓励有条件的县优化调整30人以上、100人以下的小规模学校”的工作意见，今年拟对聂桥学校和高塘学校两所100人以下小规模九年一贯制农村学校予以撤并调整。</w:t>
      </w:r>
    </w:p>
    <w:p w14:paraId="50F0E2C2">
      <w:pPr>
        <w:widowControl w:val="0"/>
        <w:numPr>
          <w:ilvl w:val="0"/>
          <w:numId w:val="0"/>
        </w:numPr>
        <w:spacing w:line="580" w:lineRule="exact"/>
        <w:ind w:firstLine="643" w:firstLineChars="200"/>
        <w:jc w:val="both"/>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（一）聂桥学校目前基本情况。</w:t>
      </w:r>
    </w:p>
    <w:p w14:paraId="6395D2AD">
      <w:pPr>
        <w:widowControl w:val="0"/>
        <w:numPr>
          <w:ilvl w:val="0"/>
          <w:numId w:val="0"/>
        </w:numPr>
        <w:spacing w:line="580" w:lineRule="exact"/>
        <w:ind w:firstLine="640"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秋季学期有有9个年级42名学生。现有在职教师共43人，其中小学部27人，初中部10人，“特岗”和“三支一扶”仍在服务期内的有6人（其中5人在今年暑期满服务期，待考核合格后需安置）。</w:t>
      </w:r>
    </w:p>
    <w:p w14:paraId="419F3759">
      <w:pPr>
        <w:widowControl w:val="0"/>
        <w:numPr>
          <w:ilvl w:val="0"/>
          <w:numId w:val="0"/>
        </w:num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（二）高塘学校目前基本情况。</w:t>
      </w:r>
    </w:p>
    <w:p w14:paraId="1D2003F0">
      <w:pPr>
        <w:widowControl w:val="0"/>
        <w:numPr>
          <w:ilvl w:val="0"/>
          <w:numId w:val="0"/>
        </w:numPr>
        <w:spacing w:line="580" w:lineRule="exact"/>
        <w:ind w:firstLine="640"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秋季学期共有5个年级（小学阶段只有四、六年级）40名学生。现有在职教师共37人，其中小学部24人，初中部10人，“特岗”和“三支一扶”仍在服务期内的有3人（3人均在今年暑期满服务期，待考核合格后需安置）。</w:t>
      </w:r>
    </w:p>
    <w:p w14:paraId="037AF7FA">
      <w:pPr>
        <w:widowControl w:val="0"/>
        <w:numPr>
          <w:ilvl w:val="0"/>
          <w:numId w:val="0"/>
        </w:numPr>
        <w:spacing w:line="580" w:lineRule="exact"/>
        <w:ind w:firstLine="640"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以上聂桥学校和高塘学校目前学生和教师的详细情况附后。</w:t>
      </w:r>
    </w:p>
    <w:p w14:paraId="751790C6">
      <w:pPr>
        <w:widowControl w:val="0"/>
        <w:spacing w:line="580" w:lineRule="exact"/>
        <w:ind w:left="655"/>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、工作举措</w:t>
      </w:r>
      <w:r>
        <w:rPr>
          <w:rFonts w:hint="eastAsia" w:ascii="黑体" w:hAnsi="黑体" w:eastAsia="黑体" w:cs="黑体"/>
          <w:color w:val="auto"/>
          <w:sz w:val="32"/>
          <w:szCs w:val="32"/>
          <w:lang w:val="en-US" w:eastAsia="zh-CN"/>
        </w:rPr>
        <w:t>及步骤</w:t>
      </w:r>
    </w:p>
    <w:p w14:paraId="18728374">
      <w:pPr>
        <w:widowControl w:val="0"/>
        <w:numPr>
          <w:ilvl w:val="0"/>
          <w:numId w:val="0"/>
        </w:numPr>
        <w:spacing w:line="580" w:lineRule="exact"/>
        <w:ind w:firstLine="640"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按照乡村学校布局规划，坚持“科学评估、应留必留、有序撤并、积极稳妥”的原则，在摸底调查、充分论证的基础上，科学制定撤并工作方案，对学生安置、教师安置、交通服务等保障方面作出全面细致安排。</w:t>
      </w:r>
    </w:p>
    <w:p w14:paraId="045B9518">
      <w:pPr>
        <w:widowControl w:val="0"/>
        <w:spacing w:line="580" w:lineRule="exact"/>
        <w:ind w:right="102" w:firstLine="643"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楷体" w:hAnsi="楷体" w:eastAsia="楷体" w:cs="楷体"/>
          <w:b/>
          <w:bCs/>
          <w:color w:val="auto"/>
          <w:sz w:val="32"/>
          <w:szCs w:val="32"/>
          <w:lang w:val="en-US" w:eastAsia="zh-CN"/>
        </w:rPr>
        <w:t>（一）实施初步</w:t>
      </w:r>
      <w:r>
        <w:rPr>
          <w:rFonts w:hint="eastAsia" w:ascii="楷体" w:hAnsi="楷体" w:eastAsia="楷体" w:cs="楷体"/>
          <w:b/>
          <w:bCs/>
          <w:color w:val="auto"/>
          <w:sz w:val="32"/>
          <w:szCs w:val="32"/>
        </w:rPr>
        <w:t>摸底</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多方了解意愿。</w:t>
      </w:r>
      <w:r>
        <w:rPr>
          <w:rFonts w:hint="eastAsia" w:ascii="Times New Roman" w:hAnsi="Times New Roman" w:eastAsia="仿宋_GB2312" w:cs="Times New Roman"/>
          <w:snapToGrid w:val="0"/>
          <w:color w:val="auto"/>
          <w:sz w:val="32"/>
          <w:szCs w:val="32"/>
          <w:lang w:val="en-US" w:eastAsia="zh-CN" w:bidi="ar-SA"/>
        </w:rPr>
        <w:t>2024年秋季学期，聂桥学校和高塘学校采取班会、家长会、家访等形式，初步了解在校学生及家长的就学意愿，并就每位学生及家长的诉求，收集整理汇总。同时，两校也就撤并事宜向当地各村两委征询了意见，就家长和村两委干部的相关疑问予以宣传解答。</w:t>
      </w:r>
    </w:p>
    <w:p w14:paraId="0B9161C1">
      <w:pPr>
        <w:widowControl w:val="0"/>
        <w:spacing w:line="580" w:lineRule="exact"/>
        <w:ind w:right="102" w:firstLine="643"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开展座谈调查，综合分析研判。</w:t>
      </w:r>
      <w:r>
        <w:rPr>
          <w:rFonts w:hint="eastAsia" w:ascii="Times New Roman" w:hAnsi="Times New Roman" w:eastAsia="仿宋_GB2312" w:cs="Times New Roman"/>
          <w:snapToGrid w:val="0"/>
          <w:color w:val="auto"/>
          <w:sz w:val="32"/>
          <w:szCs w:val="32"/>
          <w:lang w:val="en-US" w:eastAsia="zh-CN" w:bidi="ar-SA"/>
        </w:rPr>
        <w:t>3月中旬，县教体局分别在聂桥镇、高塘乡人民政府，组织召开乡村及学校相关人员座谈会，充分听取了当地政府关于学校撤并的意见建议。对群众关心的学生安置、交通保障等方面的问题，予以细致梳理，并作初步答复。根据座谈情况，经综合分析，这两所学校在今年实施撤并，有着良好的群众基础，当地干部群众多数能理解支持。</w:t>
      </w:r>
    </w:p>
    <w:p w14:paraId="4E7B93BB">
      <w:pPr>
        <w:widowControl w:val="0"/>
        <w:spacing w:line="580" w:lineRule="exact"/>
        <w:ind w:right="102" w:firstLine="643"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楷体" w:hAnsi="楷体" w:eastAsia="楷体" w:cs="楷体"/>
          <w:b/>
          <w:bCs/>
          <w:color w:val="auto"/>
          <w:sz w:val="32"/>
          <w:szCs w:val="32"/>
          <w:lang w:val="en-US" w:eastAsia="zh-CN"/>
        </w:rPr>
        <w:t>（三）全面细致摸排，掌握家长诉求。</w:t>
      </w:r>
      <w:r>
        <w:rPr>
          <w:rFonts w:hint="eastAsia" w:ascii="Times New Roman" w:hAnsi="Times New Roman" w:eastAsia="仿宋_GB2312" w:cs="Times New Roman"/>
          <w:snapToGrid w:val="0"/>
          <w:color w:val="auto"/>
          <w:sz w:val="32"/>
          <w:szCs w:val="32"/>
          <w:lang w:val="en-US" w:eastAsia="zh-CN" w:bidi="ar-SA"/>
        </w:rPr>
        <w:t>为积极稳妥推进学校优化调整，充分尊重家长意愿，维护学生利益。5月初，聂桥、高塘两所学校通过家长会等形式，再次征询家长和学生的就学意向。6月底，学校再次安排任课教师家访，向学生家长确定孩子秋季学期的就学去向。目前，两所学校82名学生均已确定了就学意向，进城就学39人，转到丰林学校的43人。</w:t>
      </w:r>
    </w:p>
    <w:p w14:paraId="42445196">
      <w:pPr>
        <w:widowControl w:val="0"/>
        <w:numPr>
          <w:ilvl w:val="0"/>
          <w:numId w:val="0"/>
        </w:numPr>
        <w:spacing w:line="580" w:lineRule="exact"/>
        <w:ind w:right="57" w:rightChars="0" w:firstLine="643" w:firstLineChars="200"/>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楷体_GB2312" w:cs="Times New Roman"/>
          <w:b/>
          <w:bCs/>
          <w:color w:val="auto"/>
          <w:sz w:val="32"/>
          <w:szCs w:val="32"/>
          <w:lang w:val="en-US" w:eastAsia="zh-CN"/>
        </w:rPr>
        <w:t>（四）</w:t>
      </w:r>
      <w:r>
        <w:rPr>
          <w:rFonts w:hint="eastAsia" w:ascii="楷体" w:hAnsi="楷体" w:eastAsia="楷体" w:cs="楷体"/>
          <w:b/>
          <w:bCs/>
          <w:color w:val="auto"/>
          <w:sz w:val="32"/>
          <w:szCs w:val="32"/>
          <w:lang w:val="en-US" w:eastAsia="zh-CN"/>
        </w:rPr>
        <w:t>制定工作方案，精心组织实施</w:t>
      </w:r>
      <w:r>
        <w:rPr>
          <w:rFonts w:ascii="Times New Roman" w:hAnsi="Times New Roman" w:eastAsia="楷体_GB2312" w:cs="Times New Roman"/>
          <w:b/>
          <w:bCs/>
          <w:color w:val="auto"/>
          <w:sz w:val="32"/>
          <w:szCs w:val="32"/>
        </w:rPr>
        <w:t>。</w:t>
      </w:r>
      <w:r>
        <w:rPr>
          <w:rFonts w:hint="eastAsia" w:ascii="Times New Roman" w:hAnsi="Times New Roman" w:eastAsia="仿宋_GB2312" w:cs="Times New Roman"/>
          <w:snapToGrid w:val="0"/>
          <w:color w:val="auto"/>
          <w:sz w:val="32"/>
          <w:szCs w:val="32"/>
          <w:lang w:val="en-US" w:eastAsia="zh-CN" w:bidi="ar-SA"/>
        </w:rPr>
        <w:t>8月底前，根据前期调查摸底情况，就聂桥学校、高塘学校撤并制定可行的工作方案，包括学生安置、教师安置、学生交通安全及服务保障、资产安置等方面内容。工作方案经县人民政府研究后，在县人民政府网站和官方媒体上向社会公示。</w:t>
      </w:r>
    </w:p>
    <w:p w14:paraId="052BA617">
      <w:pPr>
        <w:widowControl w:val="0"/>
        <w:spacing w:line="580" w:lineRule="exact"/>
        <w:ind w:left="655"/>
        <w:jc w:val="both"/>
        <w:outlineLvl w:val="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、工作保障</w:t>
      </w:r>
    </w:p>
    <w:p w14:paraId="15B99B9B">
      <w:pPr>
        <w:widowControl w:val="0"/>
        <w:spacing w:line="580" w:lineRule="exact"/>
        <w:ind w:firstLine="642"/>
        <w:jc w:val="both"/>
        <w:rPr>
          <w:rFonts w:hint="eastAsia" w:ascii="Times New Roman" w:hAnsi="Times New Roman" w:eastAsia="仿宋_GB2312" w:cs="Times New Roman"/>
          <w:snapToGrid w:val="0"/>
          <w:color w:val="auto"/>
          <w:sz w:val="32"/>
          <w:szCs w:val="32"/>
          <w:lang w:val="en-US" w:eastAsia="zh-CN" w:bidi="ar-SA"/>
        </w:rPr>
      </w:pPr>
      <w:r>
        <w:rPr>
          <w:rFonts w:hint="eastAsia" w:ascii="楷体" w:hAnsi="楷体" w:eastAsia="楷体" w:cs="楷体"/>
          <w:b/>
          <w:bCs/>
          <w:color w:val="auto"/>
          <w:sz w:val="32"/>
          <w:szCs w:val="32"/>
        </w:rPr>
        <w:t>（一）强化组织领导。</w:t>
      </w:r>
      <w:r>
        <w:rPr>
          <w:rFonts w:hint="eastAsia" w:ascii="Times New Roman" w:hAnsi="Times New Roman" w:eastAsia="仿宋_GB2312" w:cs="Times New Roman"/>
          <w:snapToGrid w:val="0"/>
          <w:color w:val="auto"/>
          <w:sz w:val="32"/>
          <w:szCs w:val="32"/>
          <w:lang w:val="en-US" w:eastAsia="zh-CN" w:bidi="ar-SA"/>
        </w:rPr>
        <w:t>成立德安县优化义务教育资源配置工作领导小组（见附件1），负责农村义务教育学校撤并工作的统筹协调、工作调度和重大问题研究。各职能部门要密切配合，通力协作，履职尽责。</w:t>
      </w:r>
      <w:r>
        <w:rPr>
          <w:rFonts w:hint="eastAsia" w:ascii="Times New Roman" w:hAnsi="Times New Roman" w:eastAsia="仿宋_GB2312" w:cs="Times New Roman"/>
          <w:b/>
          <w:bCs/>
          <w:snapToGrid w:val="0"/>
          <w:color w:val="auto"/>
          <w:sz w:val="32"/>
          <w:szCs w:val="32"/>
          <w:lang w:val="en-US" w:eastAsia="zh-CN" w:bidi="ar-SA"/>
        </w:rPr>
        <w:t>县委宣传部</w:t>
      </w:r>
      <w:r>
        <w:rPr>
          <w:rFonts w:hint="eastAsia" w:ascii="Times New Roman" w:hAnsi="Times New Roman" w:eastAsia="仿宋_GB2312" w:cs="Times New Roman"/>
          <w:snapToGrid w:val="0"/>
          <w:color w:val="auto"/>
          <w:sz w:val="32"/>
          <w:szCs w:val="32"/>
          <w:lang w:val="en-US" w:eastAsia="zh-CN" w:bidi="ar-SA"/>
        </w:rPr>
        <w:t>负责把握义务教育资源配置正面宣传和舆论引导，强化实时监测和预警，防范化解舆情风险，为推进优化义务教育资源配置工作营造良好的舆论氛围；</w:t>
      </w:r>
      <w:r>
        <w:rPr>
          <w:rFonts w:hint="eastAsia" w:ascii="Times New Roman" w:hAnsi="Times New Roman" w:eastAsia="仿宋_GB2312" w:cs="Times New Roman"/>
          <w:b/>
          <w:bCs/>
          <w:snapToGrid w:val="0"/>
          <w:color w:val="auto"/>
          <w:sz w:val="32"/>
          <w:szCs w:val="32"/>
          <w:lang w:val="en-US" w:eastAsia="zh-CN" w:bidi="ar-SA"/>
        </w:rPr>
        <w:t>县教体局</w:t>
      </w:r>
      <w:r>
        <w:rPr>
          <w:rFonts w:hint="eastAsia" w:ascii="Times New Roman" w:hAnsi="Times New Roman" w:eastAsia="仿宋_GB2312" w:cs="Times New Roman"/>
          <w:snapToGrid w:val="0"/>
          <w:color w:val="auto"/>
          <w:sz w:val="32"/>
          <w:szCs w:val="32"/>
          <w:lang w:val="en-US" w:eastAsia="zh-CN" w:bidi="ar-SA"/>
        </w:rPr>
        <w:t>统筹协调撤并工作的具体实施，指导督促乡（镇）中心学校提高办学质量，落实校园安全主体责任；</w:t>
      </w:r>
      <w:r>
        <w:rPr>
          <w:rFonts w:hint="eastAsia" w:ascii="Times New Roman" w:hAnsi="Times New Roman" w:eastAsia="仿宋_GB2312" w:cs="Times New Roman"/>
          <w:b/>
          <w:bCs/>
          <w:snapToGrid w:val="0"/>
          <w:color w:val="auto"/>
          <w:sz w:val="32"/>
          <w:szCs w:val="32"/>
          <w:lang w:val="en-US" w:eastAsia="zh-CN" w:bidi="ar-SA"/>
        </w:rPr>
        <w:t>县发改委</w:t>
      </w:r>
      <w:r>
        <w:rPr>
          <w:rFonts w:hint="eastAsia" w:ascii="Times New Roman" w:hAnsi="Times New Roman" w:eastAsia="仿宋_GB2312" w:cs="Times New Roman"/>
          <w:snapToGrid w:val="0"/>
          <w:color w:val="auto"/>
          <w:sz w:val="32"/>
          <w:szCs w:val="32"/>
          <w:lang w:val="en-US" w:eastAsia="zh-CN" w:bidi="ar-SA"/>
        </w:rPr>
        <w:t>在编制相关规划时统筹考虑义务教育资源配置；</w:t>
      </w:r>
      <w:r>
        <w:rPr>
          <w:rFonts w:hint="eastAsia" w:ascii="Times New Roman" w:hAnsi="Times New Roman" w:eastAsia="仿宋_GB2312" w:cs="Times New Roman"/>
          <w:b/>
          <w:bCs/>
          <w:snapToGrid w:val="0"/>
          <w:color w:val="auto"/>
          <w:sz w:val="32"/>
          <w:szCs w:val="32"/>
          <w:lang w:val="en-US" w:eastAsia="zh-CN" w:bidi="ar-SA"/>
        </w:rPr>
        <w:t>县财政局</w:t>
      </w:r>
      <w:r>
        <w:rPr>
          <w:rFonts w:hint="eastAsia" w:ascii="Times New Roman" w:hAnsi="Times New Roman" w:eastAsia="仿宋_GB2312" w:cs="Times New Roman"/>
          <w:snapToGrid w:val="0"/>
          <w:color w:val="auto"/>
          <w:sz w:val="32"/>
          <w:szCs w:val="32"/>
          <w:lang w:val="en-US" w:eastAsia="zh-CN" w:bidi="ar-SA"/>
        </w:rPr>
        <w:t>统筹现有资金，支持义务教育资源配置工作，提供经费保障；</w:t>
      </w:r>
      <w:r>
        <w:rPr>
          <w:rFonts w:hint="eastAsia" w:ascii="Times New Roman" w:hAnsi="Times New Roman" w:eastAsia="仿宋_GB2312" w:cs="Times New Roman"/>
          <w:b/>
          <w:bCs/>
          <w:snapToGrid w:val="0"/>
          <w:color w:val="auto"/>
          <w:sz w:val="32"/>
          <w:szCs w:val="32"/>
          <w:lang w:val="en-US" w:eastAsia="zh-CN" w:bidi="ar-SA"/>
        </w:rPr>
        <w:t>县交运局</w:t>
      </w:r>
      <w:r>
        <w:rPr>
          <w:rFonts w:hint="eastAsia" w:ascii="Times New Roman" w:hAnsi="Times New Roman" w:eastAsia="仿宋_GB2312" w:cs="Times New Roman"/>
          <w:snapToGrid w:val="0"/>
          <w:color w:val="auto"/>
          <w:sz w:val="32"/>
          <w:szCs w:val="32"/>
          <w:lang w:val="en-US" w:eastAsia="zh-CN" w:bidi="ar-SA"/>
        </w:rPr>
        <w:t>为农村学生上下学提供公路基础设施和道路运输保障；</w:t>
      </w:r>
      <w:r>
        <w:rPr>
          <w:rFonts w:hint="eastAsia" w:ascii="Times New Roman" w:hAnsi="Times New Roman" w:eastAsia="仿宋_GB2312" w:cs="Times New Roman"/>
          <w:b/>
          <w:bCs/>
          <w:snapToGrid w:val="0"/>
          <w:color w:val="auto"/>
          <w:sz w:val="32"/>
          <w:szCs w:val="32"/>
          <w:lang w:val="en-US" w:eastAsia="zh-CN" w:bidi="ar-SA"/>
        </w:rPr>
        <w:t>县民政局</w:t>
      </w:r>
      <w:r>
        <w:rPr>
          <w:rFonts w:hint="eastAsia" w:ascii="Times New Roman" w:hAnsi="Times New Roman" w:eastAsia="仿宋_GB2312" w:cs="Times New Roman"/>
          <w:snapToGrid w:val="0"/>
          <w:color w:val="auto"/>
          <w:sz w:val="32"/>
          <w:szCs w:val="32"/>
          <w:lang w:val="en-US" w:eastAsia="zh-CN" w:bidi="ar-SA"/>
        </w:rPr>
        <w:t>向教育部门推送低保、特困等困难群众信息，便于教育部门及时向困难家庭学生落实教育救助；</w:t>
      </w:r>
      <w:r>
        <w:rPr>
          <w:rFonts w:hint="eastAsia" w:ascii="Times New Roman" w:hAnsi="Times New Roman" w:eastAsia="仿宋_GB2312" w:cs="Times New Roman"/>
          <w:b/>
          <w:bCs/>
          <w:snapToGrid w:val="0"/>
          <w:color w:val="auto"/>
          <w:sz w:val="32"/>
          <w:szCs w:val="32"/>
          <w:lang w:val="en-US" w:eastAsia="zh-CN" w:bidi="ar-SA"/>
        </w:rPr>
        <w:t>县人社局</w:t>
      </w:r>
      <w:r>
        <w:rPr>
          <w:rFonts w:hint="eastAsia" w:ascii="Times New Roman" w:hAnsi="Times New Roman" w:eastAsia="仿宋_GB2312" w:cs="Times New Roman"/>
          <w:snapToGrid w:val="0"/>
          <w:color w:val="auto"/>
          <w:sz w:val="32"/>
          <w:szCs w:val="32"/>
          <w:lang w:val="en-US" w:eastAsia="zh-CN" w:bidi="ar-SA"/>
        </w:rPr>
        <w:t>统筹安排好因撤并工作岗位调整教师的职称评聘、平移转隶等工作；</w:t>
      </w:r>
      <w:r>
        <w:rPr>
          <w:rFonts w:hint="eastAsia" w:ascii="Times New Roman" w:hAnsi="Times New Roman" w:eastAsia="仿宋_GB2312" w:cs="Times New Roman"/>
          <w:b/>
          <w:bCs/>
          <w:snapToGrid w:val="0"/>
          <w:color w:val="auto"/>
          <w:sz w:val="32"/>
          <w:szCs w:val="32"/>
          <w:lang w:val="en-US" w:eastAsia="zh-CN" w:bidi="ar-SA"/>
        </w:rPr>
        <w:t>县委编办</w:t>
      </w:r>
      <w:r>
        <w:rPr>
          <w:rFonts w:hint="eastAsia" w:ascii="Times New Roman" w:hAnsi="Times New Roman" w:eastAsia="仿宋_GB2312" w:cs="Times New Roman"/>
          <w:snapToGrid w:val="0"/>
          <w:color w:val="auto"/>
          <w:sz w:val="32"/>
          <w:szCs w:val="32"/>
          <w:lang w:val="en-US" w:eastAsia="zh-CN" w:bidi="ar-SA"/>
        </w:rPr>
        <w:t>负责在义务教育学校教师“县管校聘”等方面给予政策倾斜，做好相关机构编制事项动态调整；</w:t>
      </w:r>
      <w:r>
        <w:rPr>
          <w:rFonts w:hint="eastAsia" w:ascii="Times New Roman" w:hAnsi="Times New Roman" w:eastAsia="仿宋_GB2312" w:cs="Times New Roman"/>
          <w:b/>
          <w:bCs/>
          <w:snapToGrid w:val="0"/>
          <w:color w:val="auto"/>
          <w:sz w:val="32"/>
          <w:szCs w:val="32"/>
          <w:lang w:val="en-US" w:eastAsia="zh-CN" w:bidi="ar-SA"/>
        </w:rPr>
        <w:t>县公安局</w:t>
      </w:r>
      <w:r>
        <w:rPr>
          <w:rFonts w:hint="eastAsia" w:ascii="Times New Roman" w:hAnsi="Times New Roman" w:eastAsia="仿宋_GB2312" w:cs="Times New Roman"/>
          <w:snapToGrid w:val="0"/>
          <w:color w:val="auto"/>
          <w:sz w:val="32"/>
          <w:szCs w:val="32"/>
          <w:lang w:val="en-US" w:eastAsia="zh-CN" w:bidi="ar-SA"/>
        </w:rPr>
        <w:t>加强对校车行驶线路的道路交通秩序管理，维护交通秩序，做实做强校园护学岗，确保校园安全；</w:t>
      </w:r>
      <w:r>
        <w:rPr>
          <w:rFonts w:hint="eastAsia" w:ascii="Times New Roman" w:hAnsi="Times New Roman" w:eastAsia="仿宋_GB2312" w:cs="Times New Roman"/>
          <w:b/>
          <w:bCs/>
          <w:snapToGrid w:val="0"/>
          <w:color w:val="auto"/>
          <w:sz w:val="32"/>
          <w:szCs w:val="32"/>
          <w:lang w:val="en-US" w:eastAsia="zh-CN" w:bidi="ar-SA"/>
        </w:rPr>
        <w:t>聂桥镇、高塘乡</w:t>
      </w:r>
      <w:r>
        <w:rPr>
          <w:rFonts w:hint="eastAsia" w:ascii="Times New Roman" w:hAnsi="Times New Roman" w:eastAsia="仿宋_GB2312" w:cs="Times New Roman"/>
          <w:snapToGrid w:val="0"/>
          <w:color w:val="auto"/>
          <w:sz w:val="32"/>
          <w:szCs w:val="32"/>
          <w:lang w:val="en-US" w:eastAsia="zh-CN" w:bidi="ar-SA"/>
        </w:rPr>
        <w:t>切实履行好属地政府的主体责任，发动乡村两级干部牵头做好群众思想工作，广泛征求群众意见，开展摸底调查，维护社会稳定。</w:t>
      </w:r>
    </w:p>
    <w:p w14:paraId="689E2D66">
      <w:pPr>
        <w:widowControl w:val="0"/>
        <w:spacing w:line="580" w:lineRule="exact"/>
        <w:ind w:left="8" w:firstLine="629"/>
        <w:jc w:val="both"/>
        <w:rPr>
          <w:rFonts w:hint="eastAsia" w:ascii="Times New Roman" w:hAnsi="Times New Roman" w:eastAsia="仿宋_GB2312" w:cs="Times New Roman"/>
          <w:snapToGrid w:val="0"/>
          <w:color w:val="auto"/>
          <w:sz w:val="32"/>
          <w:szCs w:val="32"/>
          <w:lang w:val="en-US" w:eastAsia="zh-CN" w:bidi="ar-SA"/>
        </w:rPr>
      </w:pPr>
      <w:r>
        <w:rPr>
          <w:rFonts w:hint="eastAsia" w:ascii="楷体" w:hAnsi="楷体" w:eastAsia="楷体" w:cs="楷体"/>
          <w:b/>
          <w:bCs/>
          <w:color w:val="auto"/>
          <w:sz w:val="32"/>
          <w:szCs w:val="32"/>
        </w:rPr>
        <w:t>（二）落实政策保障。</w:t>
      </w:r>
      <w:r>
        <w:rPr>
          <w:rFonts w:hint="eastAsia" w:ascii="Times New Roman" w:hAnsi="Times New Roman" w:eastAsia="仿宋_GB2312" w:cs="Times New Roman"/>
          <w:snapToGrid w:val="0"/>
          <w:color w:val="auto"/>
          <w:sz w:val="32"/>
          <w:szCs w:val="32"/>
          <w:lang w:val="en-US" w:eastAsia="zh-CN" w:bidi="ar-SA"/>
        </w:rPr>
        <w:t>落实优化调整过渡期内按规定保留乡村小规模学校公用经费政策，按规定增加寄宿制学校公用经费补助，抓好义务教育阶段家庭经济困难学生生活补助政策落实。对标义务教育优质均衡发展的要求，聚焦农村集中办学学校的扩容提质，全面摸清中心校生源、师资队伍配备、教室、功能室、装备设备、寄宿条件、食堂条件、安全防范等办学条件，按照“实用、够用、安全、节俭”和“缺什么、补什么”的原则，在资金投入上予以倾斜，加快补齐集中办学学校的设施设备短板，确保优化调整学校所有的学生和教师，在2025年9月1日开学前妥善安置到位，正常实施教育教学。</w:t>
      </w:r>
    </w:p>
    <w:p w14:paraId="62BDF848">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楷体" w:hAnsi="楷体" w:eastAsia="楷体" w:cs="楷体"/>
          <w:b/>
          <w:bCs/>
          <w:color w:val="auto"/>
          <w:sz w:val="32"/>
          <w:szCs w:val="32"/>
        </w:rPr>
        <w:t>（三）加强宣传引导。</w:t>
      </w:r>
      <w:r>
        <w:rPr>
          <w:rFonts w:hint="eastAsia" w:ascii="Times New Roman" w:hAnsi="Times New Roman" w:eastAsia="仿宋_GB2312" w:cs="Times New Roman"/>
          <w:snapToGrid w:val="0"/>
          <w:color w:val="auto"/>
          <w:sz w:val="32"/>
          <w:szCs w:val="32"/>
          <w:lang w:val="en-US" w:eastAsia="zh-CN" w:bidi="ar-SA"/>
        </w:rPr>
        <w:t>优化县域义务教育资源配置，合理调整乡村学校网点布局，是事关群众切身利益和教育长远发展的民生实事。各部门、各单位、相关乡（镇）人民政府要最大限度凝聚各方面合力，营造良好的社会氛围。宣传部门要通过各类媒体，采取多种形式，深入宣传教育法规和政策，宣传乡村学校集中办学成功经验和先进典型。属地乡镇、学校要采取上门入户等多种有效方式进行沟通，广泛收集群众意见，主动回应群众关切，增强认同感和支持度，争取社会各界理解，引导广大群众积极支持、参与和配合，确保此次农村小规模学校优化调整工作顺利推进。</w:t>
      </w:r>
    </w:p>
    <w:p w14:paraId="066AB0EE">
      <w:pPr>
        <w:widowControl w:val="0"/>
        <w:spacing w:line="580" w:lineRule="exact"/>
        <w:ind w:firstLine="632"/>
        <w:jc w:val="both"/>
        <w:rPr>
          <w:rFonts w:hint="eastAsia" w:ascii="仿宋" w:hAnsi="仿宋" w:eastAsia="仿宋" w:cs="仿宋"/>
          <w:color w:val="auto"/>
          <w:sz w:val="32"/>
          <w:szCs w:val="32"/>
          <w:lang w:val="en-US" w:eastAsia="zh-CN"/>
        </w:rPr>
      </w:pPr>
    </w:p>
    <w:p w14:paraId="3728D98A">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附件：</w:t>
      </w:r>
    </w:p>
    <w:p w14:paraId="011A7054">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1.德安县优化义务教育资源配置工作领导小组</w:t>
      </w:r>
    </w:p>
    <w:p w14:paraId="20124695">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2.德安县聂桥学校、高塘学校撤并学生安置方案</w:t>
      </w:r>
    </w:p>
    <w:p w14:paraId="7B1E6322">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3.德安县聂桥学校、高塘学校撤并教师安置方案</w:t>
      </w:r>
    </w:p>
    <w:p w14:paraId="5909F3C5">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4.德安县聂桥学校、高塘学校撤并学生交通服务方案</w:t>
      </w:r>
    </w:p>
    <w:p w14:paraId="42B3E470">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5.德安县优化义务教育资源配置闲置校园校舍等资源利用方案</w:t>
      </w:r>
    </w:p>
    <w:p w14:paraId="0536CBF3">
      <w:pPr>
        <w:widowControl w:val="0"/>
        <w:spacing w:line="580" w:lineRule="exact"/>
        <w:ind w:firstLine="632"/>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 xml:space="preserve">                                   </w:t>
      </w:r>
    </w:p>
    <w:p w14:paraId="74946DEC">
      <w:pPr>
        <w:spacing w:line="600" w:lineRule="exact"/>
        <w:ind w:left="11"/>
        <w:jc w:val="both"/>
        <w:rPr>
          <w:rFonts w:hint="eastAsia" w:ascii="黑体" w:hAnsi="黑体" w:eastAsia="黑体" w:cs="黑体"/>
          <w:color w:val="auto"/>
          <w:sz w:val="32"/>
          <w:szCs w:val="32"/>
        </w:rPr>
      </w:pPr>
    </w:p>
    <w:p w14:paraId="39533BAA">
      <w:pPr>
        <w:spacing w:line="600" w:lineRule="exact"/>
        <w:ind w:left="11"/>
        <w:jc w:val="both"/>
        <w:rPr>
          <w:rFonts w:hint="eastAsia" w:ascii="黑体" w:hAnsi="黑体" w:eastAsia="黑体" w:cs="黑体"/>
          <w:color w:val="auto"/>
          <w:sz w:val="32"/>
          <w:szCs w:val="32"/>
        </w:rPr>
      </w:pPr>
    </w:p>
    <w:p w14:paraId="1D621019">
      <w:pPr>
        <w:spacing w:line="600" w:lineRule="exact"/>
        <w:ind w:left="11"/>
        <w:jc w:val="both"/>
        <w:rPr>
          <w:rFonts w:hint="eastAsia" w:ascii="黑体" w:hAnsi="黑体" w:eastAsia="黑体" w:cs="黑体"/>
          <w:color w:val="auto"/>
          <w:sz w:val="32"/>
          <w:szCs w:val="32"/>
        </w:rPr>
      </w:pPr>
    </w:p>
    <w:p w14:paraId="0877F071">
      <w:pPr>
        <w:spacing w:line="600" w:lineRule="exact"/>
        <w:jc w:val="both"/>
        <w:rPr>
          <w:rFonts w:hint="eastAsia" w:ascii="黑体" w:hAnsi="黑体" w:eastAsia="黑体" w:cs="黑体"/>
          <w:sz w:val="32"/>
          <w:szCs w:val="32"/>
        </w:rPr>
      </w:pPr>
    </w:p>
    <w:p w14:paraId="5FEA7296">
      <w:pPr>
        <w:spacing w:line="600" w:lineRule="exact"/>
        <w:jc w:val="both"/>
        <w:rPr>
          <w:rFonts w:hint="eastAsia" w:ascii="黑体" w:hAnsi="黑体" w:eastAsia="黑体" w:cs="黑体"/>
          <w:sz w:val="32"/>
          <w:szCs w:val="32"/>
        </w:rPr>
      </w:pPr>
    </w:p>
    <w:p w14:paraId="0A825E47">
      <w:pPr>
        <w:spacing w:line="600" w:lineRule="exact"/>
        <w:jc w:val="both"/>
        <w:rPr>
          <w:rFonts w:hint="eastAsia" w:ascii="黑体" w:hAnsi="黑体" w:eastAsia="黑体" w:cs="黑体"/>
          <w:sz w:val="32"/>
          <w:szCs w:val="32"/>
        </w:rPr>
      </w:pPr>
    </w:p>
    <w:p w14:paraId="70D8B82A">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p w14:paraId="43EC6A1B">
      <w:pPr>
        <w:spacing w:line="600" w:lineRule="exact"/>
        <w:jc w:val="center"/>
        <w:rPr>
          <w:rFonts w:hint="eastAsia" w:ascii="方正小标宋简体" w:hAnsi="方正小标宋简体" w:eastAsia="方正小标宋简体" w:cs="方正小标宋简体"/>
          <w:w w:val="100"/>
          <w:sz w:val="44"/>
          <w:szCs w:val="44"/>
          <w:lang w:val="en-US" w:eastAsia="zh-CN"/>
        </w:rPr>
      </w:pPr>
    </w:p>
    <w:p w14:paraId="6344A281">
      <w:pPr>
        <w:spacing w:line="600" w:lineRule="exact"/>
        <w:jc w:val="center"/>
        <w:rPr>
          <w:rFonts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val="en-US" w:eastAsia="zh-CN"/>
        </w:rPr>
        <w:t>德安</w:t>
      </w:r>
      <w:r>
        <w:rPr>
          <w:rFonts w:hint="eastAsia" w:ascii="方正小标宋简体" w:hAnsi="方正小标宋简体" w:eastAsia="方正小标宋简体" w:cs="方正小标宋简体"/>
          <w:w w:val="100"/>
          <w:sz w:val="44"/>
          <w:szCs w:val="44"/>
        </w:rPr>
        <w:t>县</w:t>
      </w:r>
      <w:r>
        <w:rPr>
          <w:rFonts w:hint="eastAsia" w:ascii="方正小标宋简体" w:hAnsi="方正小标宋简体" w:eastAsia="方正小标宋简体" w:cs="方正小标宋简体"/>
          <w:w w:val="100"/>
          <w:sz w:val="44"/>
          <w:szCs w:val="44"/>
          <w:lang w:val="en-US" w:eastAsia="zh-CN"/>
        </w:rPr>
        <w:t>优化</w:t>
      </w:r>
      <w:r>
        <w:rPr>
          <w:rFonts w:hint="eastAsia" w:ascii="方正小标宋简体" w:hAnsi="方正小标宋简体" w:eastAsia="方正小标宋简体" w:cs="方正小标宋简体"/>
          <w:w w:val="100"/>
          <w:sz w:val="44"/>
          <w:szCs w:val="44"/>
        </w:rPr>
        <w:t>义务教育资源配置工作领导小组</w:t>
      </w:r>
    </w:p>
    <w:p w14:paraId="2F39EF01">
      <w:pPr>
        <w:widowControl w:val="0"/>
        <w:spacing w:line="580" w:lineRule="exact"/>
        <w:ind w:left="26" w:right="156" w:firstLine="616"/>
        <w:jc w:val="both"/>
        <w:rPr>
          <w:rFonts w:hint="eastAsia" w:ascii="Times New Roman" w:hAnsi="Times New Roman" w:eastAsia="仿宋_GB2312" w:cs="Times New Roman"/>
          <w:sz w:val="32"/>
          <w:szCs w:val="32"/>
          <w:lang w:val="en-US" w:eastAsia="zh-CN"/>
        </w:rPr>
      </w:pPr>
    </w:p>
    <w:p w14:paraId="51FBFFA4">
      <w:pPr>
        <w:widowControl w:val="0"/>
        <w:spacing w:line="580" w:lineRule="exact"/>
        <w:ind w:left="26" w:right="156" w:firstLine="616"/>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w:t>
      </w:r>
      <w:r>
        <w:rPr>
          <w:rFonts w:hint="eastAsia" w:ascii="仿宋" w:hAnsi="仿宋" w:eastAsia="仿宋" w:cs="仿宋"/>
          <w:b w:val="0"/>
          <w:bCs w:val="0"/>
          <w:sz w:val="32"/>
          <w:szCs w:val="32"/>
          <w:highlight w:val="none"/>
          <w:lang w:val="en-US" w:eastAsia="zh-CN"/>
        </w:rPr>
        <w:t>魏  霞</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县政府副县长</w:t>
      </w:r>
    </w:p>
    <w:p w14:paraId="1E575FB8">
      <w:pPr>
        <w:widowControl w:val="0"/>
        <w:spacing w:line="580" w:lineRule="exact"/>
        <w:ind w:left="26" w:right="156" w:firstLine="616"/>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副组长：朱毅莉</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县委宣传部常务副部长</w:t>
      </w:r>
    </w:p>
    <w:p w14:paraId="3E9D7137">
      <w:pPr>
        <w:widowControl w:val="0"/>
        <w:spacing w:line="580" w:lineRule="exact"/>
        <w:ind w:left="26" w:right="156" w:firstLine="1894" w:firstLineChars="592"/>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李瑞生</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县教体局党委书记、局长</w:t>
      </w:r>
    </w:p>
    <w:p w14:paraId="34700556">
      <w:pPr>
        <w:widowControl w:val="0"/>
        <w:spacing w:line="580" w:lineRule="exact"/>
        <w:ind w:left="26" w:right="156" w:firstLine="616"/>
        <w:jc w:val="both"/>
        <w:rPr>
          <w:rFonts w:hint="default" w:ascii="仿宋" w:hAnsi="仿宋" w:eastAsia="仿宋" w:cs="仿宋"/>
          <w:b w:val="0"/>
          <w:bCs w:val="0"/>
          <w:color w:val="auto"/>
          <w:sz w:val="32"/>
          <w:szCs w:val="32"/>
          <w:lang w:val="en-US" w:eastAsia="zh-CN"/>
        </w:rPr>
      </w:pPr>
      <w:r>
        <w:rPr>
          <w:rFonts w:hint="eastAsia" w:ascii="仿宋" w:hAnsi="仿宋" w:eastAsia="仿宋" w:cs="仿宋"/>
          <w:sz w:val="32"/>
          <w:szCs w:val="32"/>
          <w:lang w:eastAsia="zh-CN"/>
        </w:rPr>
        <w:t>成  员：</w:t>
      </w:r>
      <w:r>
        <w:rPr>
          <w:rFonts w:hint="eastAsia" w:ascii="仿宋" w:hAnsi="仿宋" w:eastAsia="仿宋" w:cs="仿宋"/>
          <w:b w:val="0"/>
          <w:bCs w:val="0"/>
          <w:color w:val="auto"/>
          <w:sz w:val="32"/>
          <w:szCs w:val="32"/>
          <w:lang w:val="en-US" w:eastAsia="zh-CN"/>
        </w:rPr>
        <w:t>王  佳</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县委宣传部网信办主任</w:t>
      </w:r>
    </w:p>
    <w:p w14:paraId="6D50317C">
      <w:pPr>
        <w:widowControl w:val="0"/>
        <w:spacing w:line="580" w:lineRule="exact"/>
        <w:ind w:left="26" w:right="156" w:firstLine="1894" w:firstLineChars="592"/>
        <w:jc w:val="both"/>
        <w:rPr>
          <w:rFonts w:hint="eastAsia" w:ascii="仿宋" w:hAnsi="仿宋" w:eastAsia="仿宋" w:cs="仿宋"/>
          <w:b w:val="0"/>
          <w:bCs w:val="0"/>
          <w:color w:val="auto"/>
          <w:spacing w:val="-23"/>
          <w:w w:val="90"/>
          <w:sz w:val="32"/>
          <w:szCs w:val="32"/>
          <w:lang w:eastAsia="zh-CN"/>
        </w:rPr>
      </w:pPr>
      <w:r>
        <w:rPr>
          <w:rFonts w:hint="eastAsia" w:ascii="仿宋" w:hAnsi="仿宋" w:eastAsia="仿宋" w:cs="仿宋"/>
          <w:b w:val="0"/>
          <w:bCs w:val="0"/>
          <w:color w:val="auto"/>
          <w:sz w:val="32"/>
          <w:szCs w:val="32"/>
          <w:lang w:val="en-US" w:eastAsia="zh-CN"/>
        </w:rPr>
        <w:t>李  良</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pacing w:val="-23"/>
          <w:w w:val="90"/>
          <w:sz w:val="32"/>
          <w:szCs w:val="32"/>
          <w:lang w:eastAsia="zh-CN"/>
        </w:rPr>
        <w:t>县委编办机构编制实名制管理中心主任</w:t>
      </w:r>
    </w:p>
    <w:p w14:paraId="4941B017">
      <w:pPr>
        <w:widowControl w:val="0"/>
        <w:spacing w:line="580" w:lineRule="exact"/>
        <w:ind w:right="156" w:firstLine="1920" w:firstLineChars="600"/>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梅  元</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县发改委党组成员、副主任</w:t>
      </w:r>
    </w:p>
    <w:p w14:paraId="5B50122E">
      <w:pPr>
        <w:widowControl w:val="0"/>
        <w:spacing w:line="580" w:lineRule="exact"/>
        <w:ind w:left="26" w:right="156" w:firstLine="1894" w:firstLineChars="592"/>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张长林</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县教体局党委委员、副局长</w:t>
      </w:r>
    </w:p>
    <w:p w14:paraId="011C68CA">
      <w:pPr>
        <w:widowControl w:val="0"/>
        <w:spacing w:line="580" w:lineRule="exact"/>
        <w:ind w:left="26" w:right="156" w:firstLine="1894" w:firstLineChars="592"/>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周航冰</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县公安局党委委员、副政委</w:t>
      </w:r>
    </w:p>
    <w:p w14:paraId="121E90B3">
      <w:pPr>
        <w:widowControl w:val="0"/>
        <w:spacing w:line="580" w:lineRule="exact"/>
        <w:ind w:left="26" w:right="156" w:firstLine="1894" w:firstLineChars="592"/>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钟  冰</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县民政局科级干部、七级职员</w:t>
      </w:r>
    </w:p>
    <w:p w14:paraId="2D9C8D7C">
      <w:pPr>
        <w:widowControl w:val="0"/>
        <w:spacing w:line="580" w:lineRule="exact"/>
        <w:ind w:left="26" w:right="156" w:firstLine="1894" w:firstLineChars="592"/>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罗文娟</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县财政局二级主任科员</w:t>
      </w:r>
    </w:p>
    <w:p w14:paraId="35D6FD7E">
      <w:pPr>
        <w:widowControl w:val="0"/>
        <w:spacing w:line="580" w:lineRule="exact"/>
        <w:ind w:left="26" w:right="156" w:firstLine="1894" w:firstLineChars="592"/>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陈  俊</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县人社局党组成员、副局长</w:t>
      </w:r>
    </w:p>
    <w:p w14:paraId="0458E90D">
      <w:pPr>
        <w:widowControl w:val="0"/>
        <w:spacing w:line="580" w:lineRule="exact"/>
        <w:ind w:left="26" w:right="156" w:firstLine="1894" w:firstLineChars="592"/>
        <w:jc w:val="both"/>
        <w:rPr>
          <w:rFonts w:hint="eastAsia" w:ascii="仿宋_GB2312" w:hAnsi="仿宋_GB2312" w:eastAsia="仿宋_GB2312" w:cs="仿宋_GB2312"/>
          <w:color w:val="FF0000"/>
          <w:sz w:val="32"/>
          <w:szCs w:val="32"/>
          <w:lang w:eastAsia="zh-CN"/>
        </w:rPr>
      </w:pPr>
      <w:r>
        <w:rPr>
          <w:rFonts w:hint="eastAsia" w:ascii="仿宋" w:hAnsi="仿宋" w:eastAsia="仿宋" w:cs="仿宋"/>
          <w:b w:val="0"/>
          <w:bCs w:val="0"/>
          <w:color w:val="auto"/>
          <w:sz w:val="32"/>
          <w:szCs w:val="32"/>
          <w:lang w:val="en-US" w:eastAsia="zh-CN"/>
        </w:rPr>
        <w:t>洪茂良</w:t>
      </w:r>
      <w:r>
        <w:rPr>
          <w:rFonts w:hint="eastAsia" w:ascii="仿宋" w:hAnsi="仿宋" w:eastAsia="仿宋" w:cs="仿宋"/>
          <w:b w:val="0"/>
          <w:bCs w:val="0"/>
          <w:color w:val="auto"/>
          <w:sz w:val="32"/>
          <w:szCs w:val="32"/>
          <w:lang w:eastAsia="zh-CN"/>
        </w:rPr>
        <w:tab/>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县交运局一级主任科员</w:t>
      </w:r>
    </w:p>
    <w:p w14:paraId="2F7FE433">
      <w:pPr>
        <w:widowControl w:val="0"/>
        <w:spacing w:line="580" w:lineRule="exact"/>
        <w:ind w:left="26" w:right="156" w:firstLine="1894" w:firstLineChars="592"/>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秦满华</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聂桥镇党委委员</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武装部长</w:t>
      </w:r>
    </w:p>
    <w:p w14:paraId="0AA5F0A8">
      <w:pPr>
        <w:widowControl w:val="0"/>
        <w:spacing w:line="580" w:lineRule="exact"/>
        <w:ind w:left="26" w:right="156" w:firstLine="1894" w:firstLineChars="592"/>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闵功军</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高塘乡人大专职副主席</w:t>
      </w:r>
    </w:p>
    <w:p w14:paraId="3DC3FDC0">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rPr>
        <w:t>领导小组</w:t>
      </w:r>
      <w:r>
        <w:rPr>
          <w:rFonts w:hint="eastAsia" w:ascii="仿宋" w:hAnsi="仿宋" w:eastAsia="仿宋" w:cs="仿宋"/>
          <w:color w:val="auto"/>
          <w:sz w:val="32"/>
          <w:szCs w:val="32"/>
          <w:lang w:val="en-US" w:eastAsia="zh-CN"/>
        </w:rPr>
        <w:t>负责对全县义务教育资</w:t>
      </w:r>
      <w:r>
        <w:rPr>
          <w:rFonts w:hint="eastAsia" w:ascii="仿宋" w:hAnsi="仿宋" w:eastAsia="仿宋" w:cs="仿宋"/>
          <w:sz w:val="32"/>
          <w:szCs w:val="32"/>
          <w:lang w:val="en-US" w:eastAsia="zh-CN"/>
        </w:rPr>
        <w:t>源优化配置</w:t>
      </w:r>
      <w:r>
        <w:rPr>
          <w:rFonts w:hint="eastAsia" w:ascii="仿宋" w:hAnsi="仿宋" w:eastAsia="仿宋" w:cs="仿宋"/>
          <w:sz w:val="32"/>
          <w:szCs w:val="32"/>
        </w:rPr>
        <w:t>工作的组织领导，统筹指导</w:t>
      </w:r>
      <w:r>
        <w:rPr>
          <w:rFonts w:hint="eastAsia" w:ascii="仿宋" w:hAnsi="仿宋" w:eastAsia="仿宋" w:cs="仿宋"/>
          <w:sz w:val="32"/>
          <w:szCs w:val="32"/>
          <w:lang w:val="en-US" w:eastAsia="zh-CN"/>
        </w:rPr>
        <w:t>推进过程中具体</w:t>
      </w:r>
      <w:r>
        <w:rPr>
          <w:rFonts w:hint="eastAsia" w:ascii="仿宋" w:hAnsi="仿宋" w:eastAsia="仿宋" w:cs="仿宋"/>
          <w:sz w:val="32"/>
          <w:szCs w:val="32"/>
        </w:rPr>
        <w:t>工作</w:t>
      </w:r>
      <w:r>
        <w:rPr>
          <w:rFonts w:hint="eastAsia" w:ascii="仿宋" w:hAnsi="仿宋" w:eastAsia="仿宋" w:cs="仿宋"/>
          <w:sz w:val="32"/>
          <w:szCs w:val="32"/>
          <w:lang w:val="en-US" w:eastAsia="zh-CN"/>
        </w:rPr>
        <w:t>的研究落实</w:t>
      </w:r>
      <w:r>
        <w:rPr>
          <w:rFonts w:hint="eastAsia" w:ascii="仿宋" w:hAnsi="仿宋" w:eastAsia="仿宋" w:cs="仿宋"/>
          <w:sz w:val="32"/>
          <w:szCs w:val="32"/>
        </w:rPr>
        <w:t>。领导小组下设办公室，设在县教体局，</w:t>
      </w:r>
      <w:r>
        <w:rPr>
          <w:rFonts w:hint="eastAsia" w:ascii="仿宋" w:hAnsi="仿宋" w:eastAsia="仿宋" w:cs="仿宋"/>
          <w:sz w:val="32"/>
          <w:szCs w:val="32"/>
          <w:lang w:val="en-US" w:eastAsia="zh-CN"/>
        </w:rPr>
        <w:t>由</w:t>
      </w:r>
      <w:r>
        <w:rPr>
          <w:rFonts w:hint="eastAsia" w:ascii="仿宋" w:hAnsi="仿宋" w:eastAsia="仿宋" w:cs="仿宋"/>
          <w:sz w:val="32"/>
          <w:szCs w:val="32"/>
        </w:rPr>
        <w:t>张长林同志兼任办公室主任</w:t>
      </w:r>
      <w:r>
        <w:rPr>
          <w:rFonts w:hint="eastAsia" w:ascii="仿宋" w:hAnsi="仿宋" w:eastAsia="仿宋" w:cs="仿宋"/>
          <w:sz w:val="32"/>
          <w:szCs w:val="32"/>
          <w:lang w:eastAsia="zh-CN"/>
        </w:rPr>
        <w:t>，</w:t>
      </w:r>
      <w:r>
        <w:rPr>
          <w:rFonts w:hint="eastAsia" w:ascii="仿宋" w:hAnsi="仿宋" w:eastAsia="仿宋" w:cs="仿宋"/>
          <w:sz w:val="32"/>
          <w:szCs w:val="32"/>
        </w:rPr>
        <w:t>负责日常工作。</w:t>
      </w:r>
    </w:p>
    <w:p w14:paraId="2010D0BD">
      <w:pPr>
        <w:spacing w:line="600" w:lineRule="exact"/>
        <w:jc w:val="both"/>
        <w:rPr>
          <w:rFonts w:hint="eastAsia" w:ascii="黑体" w:hAnsi="黑体" w:eastAsia="黑体" w:cs="黑体"/>
          <w:sz w:val="32"/>
          <w:szCs w:val="32"/>
          <w:lang w:eastAsia="zh-CN"/>
        </w:rPr>
      </w:pPr>
    </w:p>
    <w:p w14:paraId="322B27B0">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14:paraId="3674707D">
      <w:pPr>
        <w:pStyle w:val="23"/>
        <w:widowControl w:val="0"/>
        <w:adjustRightInd w:val="0"/>
        <w:snapToGrid w:val="0"/>
        <w:spacing w:line="240" w:lineRule="auto"/>
        <w:ind w:firstLine="708" w:firstLineChars="200"/>
        <w:jc w:val="both"/>
        <w:rPr>
          <w:rFonts w:hint="eastAsia" w:ascii="方正小标宋简体" w:hAnsi="方正小标宋简体" w:eastAsia="方正小标宋简体" w:cs="方正小标宋简体"/>
          <w:spacing w:val="1"/>
          <w:w w:val="80"/>
          <w:kern w:val="0"/>
          <w:sz w:val="44"/>
          <w:szCs w:val="44"/>
          <w:fitText w:val="7480" w:id="611270630"/>
          <w:lang w:val="en-US" w:eastAsia="zh-CN"/>
        </w:rPr>
      </w:pPr>
    </w:p>
    <w:p w14:paraId="2AD373ED">
      <w:pPr>
        <w:pStyle w:val="23"/>
        <w:widowControl w:val="0"/>
        <w:adjustRightInd w:val="0"/>
        <w:snapToGrid w:val="0"/>
        <w:spacing w:line="240" w:lineRule="auto"/>
        <w:ind w:firstLine="752" w:firstLineChars="200"/>
        <w:jc w:val="both"/>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pacing w:val="1"/>
          <w:w w:val="85"/>
          <w:kern w:val="0"/>
          <w:sz w:val="44"/>
          <w:szCs w:val="44"/>
          <w:fitText w:val="7480" w:id="611270630"/>
          <w:lang w:val="en-US" w:eastAsia="zh-CN"/>
        </w:rPr>
        <w:t>德安县聂桥学校、高塘学校撤并</w:t>
      </w:r>
      <w:r>
        <w:rPr>
          <w:rFonts w:hint="eastAsia" w:ascii="方正小标宋简体" w:hAnsi="方正小标宋简体" w:eastAsia="方正小标宋简体" w:cs="方正小标宋简体"/>
          <w:spacing w:val="1"/>
          <w:w w:val="85"/>
          <w:kern w:val="0"/>
          <w:sz w:val="44"/>
          <w:szCs w:val="44"/>
          <w:fitText w:val="7480" w:id="611270630"/>
        </w:rPr>
        <w:t>学生安置方</w:t>
      </w:r>
      <w:r>
        <w:rPr>
          <w:rFonts w:hint="eastAsia" w:ascii="方正小标宋简体" w:hAnsi="方正小标宋简体" w:eastAsia="方正小标宋简体" w:cs="方正小标宋简体"/>
          <w:spacing w:val="33"/>
          <w:w w:val="85"/>
          <w:kern w:val="0"/>
          <w:sz w:val="44"/>
          <w:szCs w:val="44"/>
          <w:fitText w:val="7480" w:id="611270630"/>
        </w:rPr>
        <w:t>案</w:t>
      </w:r>
    </w:p>
    <w:p w14:paraId="4C9C699B"/>
    <w:p w14:paraId="7B51F651">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为积极稳妥有序做好聂桥学校、高塘学校撤并过程中学生安置工作，结合实际，制定本方案。</w:t>
      </w:r>
    </w:p>
    <w:p w14:paraId="4F55C5BC">
      <w:pPr>
        <w:pStyle w:val="6"/>
        <w:spacing w:line="600" w:lineRule="exact"/>
        <w:ind w:left="1" w:firstLine="644"/>
        <w:jc w:val="both"/>
        <w:rPr>
          <w:rFonts w:hint="eastAsia" w:ascii="Times New Roman" w:hAnsi="Times New Roman" w:eastAsia="仿宋_GB2312" w:cs="Times New Roman"/>
          <w:b/>
          <w:bCs/>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一、工作目标</w:t>
      </w:r>
    </w:p>
    <w:p w14:paraId="7CD9727F">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以优化教育资源配置，促进教育公平和义务教育优质均衡发展为目标，充分保障优化整合学校学生有学上、上好学。确保2025年8月底如期完成聂桥学校、高塘学校撤并，82名中小学生得到妥善安置（聂桥学校42名，高塘学校40名）。</w:t>
      </w:r>
    </w:p>
    <w:p w14:paraId="5F3B2003">
      <w:pPr>
        <w:pStyle w:val="6"/>
        <w:spacing w:line="600" w:lineRule="exact"/>
        <w:ind w:left="1" w:firstLine="644"/>
        <w:jc w:val="both"/>
        <w:rPr>
          <w:rFonts w:hint="eastAsia" w:ascii="Times New Roman" w:hAnsi="Times New Roman" w:eastAsia="仿宋_GB2312" w:cs="Times New Roman"/>
          <w:b/>
          <w:bCs/>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二、工作原则</w:t>
      </w:r>
    </w:p>
    <w:p w14:paraId="6470F8C7">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（一）坚持免试入学原则。</w:t>
      </w:r>
      <w:r>
        <w:rPr>
          <w:rFonts w:hint="eastAsia" w:ascii="Times New Roman" w:hAnsi="Times New Roman" w:eastAsia="仿宋_GB2312" w:cs="Times New Roman"/>
          <w:snapToGrid w:val="0"/>
          <w:color w:val="auto"/>
          <w:sz w:val="32"/>
          <w:szCs w:val="32"/>
          <w:lang w:val="en-US" w:eastAsia="zh-CN" w:bidi="ar-SA"/>
        </w:rPr>
        <w:t>安置学校对优化调整学校的学生一律实行免试入学。</w:t>
      </w:r>
    </w:p>
    <w:p w14:paraId="037993BC">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（二）坚持属地管理原则。</w:t>
      </w:r>
      <w:r>
        <w:rPr>
          <w:rFonts w:hint="eastAsia" w:ascii="Times New Roman" w:hAnsi="Times New Roman" w:eastAsia="仿宋_GB2312" w:cs="Times New Roman"/>
          <w:snapToGrid w:val="0"/>
          <w:color w:val="auto"/>
          <w:sz w:val="32"/>
          <w:szCs w:val="32"/>
          <w:lang w:val="en-US" w:eastAsia="zh-CN" w:bidi="ar-SA"/>
        </w:rPr>
        <w:t>县教体局统筹管理2所优化调整学校学生安置工作，各乡（镇）中心学校负责组织实施本乡（镇）内的学生安置工作。</w:t>
      </w:r>
    </w:p>
    <w:p w14:paraId="4B1B4637">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（三）坚持教育公平原则。</w:t>
      </w:r>
      <w:r>
        <w:rPr>
          <w:rFonts w:hint="eastAsia" w:ascii="Times New Roman" w:hAnsi="Times New Roman" w:eastAsia="仿宋_GB2312" w:cs="Times New Roman"/>
          <w:snapToGrid w:val="0"/>
          <w:color w:val="auto"/>
          <w:sz w:val="32"/>
          <w:szCs w:val="32"/>
          <w:lang w:val="en-US" w:eastAsia="zh-CN" w:bidi="ar-SA"/>
        </w:rPr>
        <w:t>接收学校对从优化调整学校转来的学生要实行应接尽接，确保教育公正公平。</w:t>
      </w:r>
    </w:p>
    <w:p w14:paraId="38066792">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（四）坚持自愿安置原则。</w:t>
      </w:r>
      <w:r>
        <w:rPr>
          <w:rFonts w:hint="eastAsia" w:ascii="Times New Roman" w:hAnsi="Times New Roman" w:eastAsia="仿宋_GB2312" w:cs="Times New Roman"/>
          <w:snapToGrid w:val="0"/>
          <w:color w:val="auto"/>
          <w:sz w:val="32"/>
          <w:szCs w:val="32"/>
          <w:lang w:val="en-US" w:eastAsia="zh-CN" w:bidi="ar-SA"/>
        </w:rPr>
        <w:t>积极引导学生自愿安置相对就近的乡（镇）中心学校就读。家长自愿选择到其他乡（镇）学校就读的，乡（镇）中心学校报县教体局协调解决；对于选择进城就读的学生，乡（镇）中心学校和县教体局要主动做好服务工作。</w:t>
      </w:r>
    </w:p>
    <w:p w14:paraId="0423E919">
      <w:pPr>
        <w:widowControl w:val="0"/>
        <w:spacing w:line="580" w:lineRule="exact"/>
        <w:ind w:firstLine="632"/>
        <w:jc w:val="both"/>
        <w:rPr>
          <w:rFonts w:hint="default"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（五）坚持关心关爱原则。</w:t>
      </w:r>
      <w:r>
        <w:rPr>
          <w:rFonts w:hint="eastAsia" w:ascii="Times New Roman" w:hAnsi="Times New Roman" w:eastAsia="仿宋_GB2312" w:cs="Times New Roman"/>
          <w:snapToGrid w:val="0"/>
          <w:color w:val="auto"/>
          <w:sz w:val="32"/>
          <w:szCs w:val="32"/>
          <w:lang w:val="en-US" w:eastAsia="zh-CN" w:bidi="ar-SA"/>
        </w:rPr>
        <w:t>撤并学校和接收学校教师要对安置学生的情况深入了解，随时关注学生的心理状态。接收学校对撤并安置的学生开展心理健康辅导，建立心理健康档案。实施教师结对帮扶制度，定期开展谈心活动，详细了解学生在家中学习、生活的实际情况，及时发现潜在问题，帮助他们解决生活与学习上的困难，让他们感受温暖，帮助学生尽快融入新学校。加强学生交通安全教育（系好安全带，排队候车，选定路队长维护乘车秩序等）。加强家校沟通，利用电话、微信、开展家长课堂等多种途径，指导家长开展家庭教育。</w:t>
      </w:r>
    </w:p>
    <w:p w14:paraId="2B1AC16D">
      <w:pPr>
        <w:pStyle w:val="6"/>
        <w:spacing w:line="600" w:lineRule="exact"/>
        <w:ind w:left="1" w:firstLine="644"/>
        <w:jc w:val="both"/>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、工作安排</w:t>
      </w:r>
    </w:p>
    <w:p w14:paraId="278D26FC">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学生安置工作分两个阶段进行</w:t>
      </w:r>
    </w:p>
    <w:p w14:paraId="535A8627">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第一阶段（2025年6月—7月）：</w:t>
      </w:r>
      <w:r>
        <w:rPr>
          <w:rFonts w:hint="eastAsia" w:ascii="Times New Roman" w:hAnsi="Times New Roman" w:eastAsia="仿宋_GB2312" w:cs="Times New Roman"/>
          <w:snapToGrid w:val="0"/>
          <w:color w:val="auto"/>
          <w:sz w:val="32"/>
          <w:szCs w:val="32"/>
          <w:lang w:val="en-US" w:eastAsia="zh-CN" w:bidi="ar-SA"/>
        </w:rPr>
        <w:t>宣传动员、登记阶段。6月初，聂桥学校、高塘学校再次对在校学生意向安置情况进行摸底登记，意向去农村学校、城区学校的人数和意向学校等情况详见附件2-1。</w:t>
      </w:r>
    </w:p>
    <w:p w14:paraId="33CF83CF">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第二阶段（2025年8月）：</w:t>
      </w:r>
      <w:r>
        <w:rPr>
          <w:rFonts w:hint="eastAsia" w:ascii="Times New Roman" w:hAnsi="Times New Roman" w:eastAsia="仿宋_GB2312" w:cs="Times New Roman"/>
          <w:snapToGrid w:val="0"/>
          <w:color w:val="auto"/>
          <w:sz w:val="32"/>
          <w:szCs w:val="32"/>
          <w:lang w:val="en-US" w:eastAsia="zh-CN" w:bidi="ar-SA"/>
        </w:rPr>
        <w:t>合理安置，办理分班和学籍转接阶段。</w:t>
      </w:r>
    </w:p>
    <w:p w14:paraId="1F9BB305">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五、工作要求</w:t>
      </w:r>
    </w:p>
    <w:p w14:paraId="42E34799">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（一）强化组织领导。</w:t>
      </w:r>
      <w:r>
        <w:rPr>
          <w:rFonts w:hint="eastAsia" w:ascii="Times New Roman" w:hAnsi="Times New Roman" w:eastAsia="仿宋_GB2312" w:cs="Times New Roman"/>
          <w:snapToGrid w:val="0"/>
          <w:color w:val="auto"/>
          <w:sz w:val="32"/>
          <w:szCs w:val="32"/>
          <w:lang w:val="en-US" w:eastAsia="zh-CN" w:bidi="ar-SA"/>
        </w:rPr>
        <w:t>属地乡（镇）政府要高度重视学生安置工作，成立学生安置工作专班，由乡（镇）分管教育领导担任组长，中心学校书记、校长具体安排落实，建立校级领导和教师“一帮一”工作机制，层层压实责任，确保学生不因优化整合工作而失学辍学。</w:t>
      </w:r>
    </w:p>
    <w:p w14:paraId="6B60A128">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（二）精心组织实施。</w:t>
      </w:r>
      <w:r>
        <w:rPr>
          <w:rFonts w:hint="eastAsia" w:ascii="Times New Roman" w:hAnsi="Times New Roman" w:eastAsia="仿宋_GB2312" w:cs="Times New Roman"/>
          <w:snapToGrid w:val="0"/>
          <w:color w:val="auto"/>
          <w:sz w:val="32"/>
          <w:szCs w:val="32"/>
          <w:lang w:val="en-US" w:eastAsia="zh-CN" w:bidi="ar-SA"/>
        </w:rPr>
        <w:t>接收安置的中心学校按照“一生一档”完善安置学生信息档案。同时，广泛征求学生家长意见，做好学生上下学交通、饮食和住宿条件保障工作，可在秋季开学前做好学生在安置学校的各项适应工作，确保学生秋季开学能够顺利并快速适应新环境。</w:t>
      </w:r>
    </w:p>
    <w:p w14:paraId="55D51D58">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（三）加强监督指导。</w:t>
      </w:r>
      <w:r>
        <w:rPr>
          <w:rFonts w:hint="eastAsia" w:ascii="Times New Roman" w:hAnsi="Times New Roman" w:eastAsia="仿宋_GB2312" w:cs="Times New Roman"/>
          <w:snapToGrid w:val="0"/>
          <w:color w:val="auto"/>
          <w:sz w:val="32"/>
          <w:szCs w:val="32"/>
          <w:lang w:val="en-US" w:eastAsia="zh-CN" w:bidi="ar-SA"/>
        </w:rPr>
        <w:t>县教体局要加强督促指导，在为学生安置提供便利条件方面开通“绿色通道”，安排专人做好学生学籍转接，快速落实困难学生资助。安排局机关蹲点领导干部和责任督学蹲点中心学校，不定期对工作任务进行监督和检查，及时发现问题，提出建议，督促整改，确保学生安置工作平稳有序。</w:t>
      </w:r>
    </w:p>
    <w:p w14:paraId="59E07EAC">
      <w:pPr>
        <w:pStyle w:val="6"/>
        <w:spacing w:line="600" w:lineRule="exact"/>
        <w:ind w:left="1" w:firstLine="644"/>
        <w:jc w:val="both"/>
        <w:rPr>
          <w:rFonts w:hint="eastAsia" w:ascii="Times New Roman" w:hAnsi="Times New Roman" w:eastAsia="仿宋_GB2312" w:cs="Times New Roman"/>
          <w:snapToGrid w:val="0"/>
          <w:color w:val="auto"/>
          <w:sz w:val="32"/>
          <w:szCs w:val="32"/>
          <w:lang w:val="en-US" w:eastAsia="zh-CN" w:bidi="ar-SA"/>
        </w:rPr>
        <w:sectPr>
          <w:headerReference r:id="rId3" w:type="default"/>
          <w:footerReference r:id="rId4" w:type="default"/>
          <w:pgSz w:w="11906" w:h="16839"/>
          <w:pgMar w:top="1417" w:right="1417" w:bottom="1417" w:left="1417" w:header="0" w:footer="981" w:gutter="0"/>
          <w:pgNumType w:fmt="numberInDash"/>
          <w:cols w:space="0" w:num="1"/>
          <w:rtlGutter w:val="0"/>
          <w:docGrid w:linePitch="0" w:charSpace="0"/>
        </w:sectPr>
      </w:pPr>
    </w:p>
    <w:p w14:paraId="4FCD96D6">
      <w:pPr>
        <w:pStyle w:val="6"/>
        <w:keepNext w:val="0"/>
        <w:keepLines w:val="0"/>
        <w:pageBreakBefore w:val="0"/>
        <w:wordWrap/>
        <w:overflowPunct/>
        <w:topLinePunct w:val="0"/>
        <w:bidi w:val="0"/>
        <w:adjustRightInd w:val="0"/>
        <w:snapToGrid w:val="0"/>
        <w:spacing w:line="240" w:lineRule="atLeast"/>
        <w:jc w:val="both"/>
        <w:rPr>
          <w:rFonts w:hint="eastAsia" w:ascii="黑体" w:hAnsi="黑体" w:eastAsia="仿宋" w:cs="黑体"/>
          <w:b w:val="0"/>
          <w:bCs w:val="0"/>
          <w:color w:val="auto"/>
          <w:sz w:val="32"/>
          <w:szCs w:val="32"/>
          <w:lang w:eastAsia="zh-CN"/>
        </w:rPr>
      </w:pPr>
      <w:r>
        <w:rPr>
          <w:rFonts w:hint="eastAsia" w:ascii="黑体" w:hAnsi="黑体" w:eastAsia="黑体" w:cs="黑体"/>
          <w:b w:val="0"/>
          <w:bCs w:val="0"/>
          <w:color w:val="auto"/>
          <w:sz w:val="32"/>
          <w:szCs w:val="32"/>
        </w:rPr>
        <w:t>附件2</w:t>
      </w:r>
      <w:r>
        <w:rPr>
          <w:rFonts w:hint="eastAsia" w:ascii="仿宋" w:hAnsi="仿宋" w:eastAsia="仿宋" w:cs="仿宋"/>
          <w:b w:val="0"/>
          <w:bCs w:val="0"/>
          <w:color w:val="auto"/>
          <w:sz w:val="32"/>
          <w:szCs w:val="32"/>
        </w:rPr>
        <w:t>-1</w:t>
      </w:r>
      <w:r>
        <w:rPr>
          <w:rFonts w:hint="eastAsia" w:cs="仿宋"/>
          <w:b w:val="0"/>
          <w:bCs w:val="0"/>
          <w:color w:val="auto"/>
          <w:sz w:val="32"/>
          <w:szCs w:val="32"/>
          <w:lang w:eastAsia="zh-CN"/>
        </w:rPr>
        <w:t>：</w:t>
      </w:r>
      <w:r>
        <w:rPr>
          <w:rFonts w:hint="eastAsia" w:cs="仿宋"/>
          <w:b w:val="0"/>
          <w:bCs w:val="0"/>
          <w:color w:val="auto"/>
          <w:sz w:val="32"/>
          <w:szCs w:val="32"/>
          <w:lang w:val="en-US" w:eastAsia="zh-CN"/>
        </w:rPr>
        <w:t xml:space="preserve">            </w:t>
      </w:r>
      <w:r>
        <w:rPr>
          <w:rFonts w:hint="eastAsia" w:ascii="方正小标宋简体" w:hAnsi="方正小标宋简体" w:eastAsia="方正小标宋简体" w:cs="方正小标宋简体"/>
          <w:color w:val="auto"/>
          <w:sz w:val="36"/>
          <w:szCs w:val="36"/>
          <w:lang w:val="en-US" w:eastAsia="zh-CN"/>
        </w:rPr>
        <w:t>德安县聂桥学校、高塘学校</w:t>
      </w:r>
      <w:r>
        <w:rPr>
          <w:rFonts w:hint="eastAsia" w:ascii="方正小标宋简体" w:hAnsi="方正小标宋简体" w:eastAsia="方正小标宋简体" w:cs="方正小标宋简体"/>
          <w:color w:val="auto"/>
          <w:sz w:val="36"/>
          <w:szCs w:val="36"/>
        </w:rPr>
        <w:t>学生安置情况统计表</w:t>
      </w:r>
    </w:p>
    <w:tbl>
      <w:tblPr>
        <w:tblStyle w:val="14"/>
        <w:tblpPr w:leftFromText="180" w:rightFromText="180" w:vertAnchor="text" w:horzAnchor="page" w:tblpX="1596" w:tblpY="475"/>
        <w:tblOverlap w:val="never"/>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682"/>
        <w:gridCol w:w="767"/>
        <w:gridCol w:w="661"/>
        <w:gridCol w:w="692"/>
        <w:gridCol w:w="676"/>
        <w:gridCol w:w="692"/>
        <w:gridCol w:w="9294"/>
      </w:tblGrid>
      <w:tr w14:paraId="2DA3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restart"/>
            <w:tcBorders>
              <w:tl2br w:val="nil"/>
              <w:tr2bl w:val="nil"/>
            </w:tcBorders>
            <w:noWrap/>
            <w:vAlign w:val="center"/>
          </w:tcPr>
          <w:p w14:paraId="79884346">
            <w:pPr>
              <w:keepNext w:val="0"/>
              <w:keepLines w:val="0"/>
              <w:pageBreakBefore w:val="0"/>
              <w:widowControl/>
              <w:suppressLineNumbers w:val="0"/>
              <w:wordWrap/>
              <w:overflowPunct/>
              <w:topLinePunct w:val="0"/>
              <w:bidi w:val="0"/>
              <w:adjustRightInd w:val="0"/>
              <w:snapToGrid w:val="0"/>
              <w:spacing w:line="240" w:lineRule="atLeast"/>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学校</w:t>
            </w:r>
          </w:p>
        </w:tc>
        <w:tc>
          <w:tcPr>
            <w:tcW w:w="682" w:type="dxa"/>
            <w:vMerge w:val="restart"/>
            <w:tcBorders>
              <w:tl2br w:val="nil"/>
              <w:tr2bl w:val="nil"/>
            </w:tcBorders>
            <w:noWrap/>
            <w:vAlign w:val="center"/>
          </w:tcPr>
          <w:p w14:paraId="75DB7A47">
            <w:pPr>
              <w:keepNext w:val="0"/>
              <w:keepLines w:val="0"/>
              <w:pageBreakBefore w:val="0"/>
              <w:widowControl/>
              <w:suppressLineNumbers w:val="0"/>
              <w:wordWrap/>
              <w:overflowPunct/>
              <w:topLinePunct w:val="0"/>
              <w:bidi w:val="0"/>
              <w:adjustRightInd w:val="0"/>
              <w:snapToGrid w:val="0"/>
              <w:spacing w:line="240" w:lineRule="atLeast"/>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秋季年级</w:t>
            </w:r>
          </w:p>
        </w:tc>
        <w:tc>
          <w:tcPr>
            <w:tcW w:w="767" w:type="dxa"/>
            <w:vMerge w:val="restart"/>
            <w:tcBorders>
              <w:tl2br w:val="nil"/>
              <w:tr2bl w:val="nil"/>
            </w:tcBorders>
            <w:noWrap/>
            <w:vAlign w:val="center"/>
          </w:tcPr>
          <w:p w14:paraId="52BD275A">
            <w:pPr>
              <w:keepNext w:val="0"/>
              <w:keepLines w:val="0"/>
              <w:pageBreakBefore w:val="0"/>
              <w:widowControl/>
              <w:suppressLineNumbers w:val="0"/>
              <w:wordWrap/>
              <w:overflowPunct/>
              <w:topLinePunct w:val="0"/>
              <w:bidi w:val="0"/>
              <w:adjustRightInd w:val="0"/>
              <w:snapToGrid w:val="0"/>
              <w:spacing w:line="240" w:lineRule="atLeast"/>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在校</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人数</w:t>
            </w:r>
          </w:p>
        </w:tc>
        <w:tc>
          <w:tcPr>
            <w:tcW w:w="2721" w:type="dxa"/>
            <w:gridSpan w:val="4"/>
            <w:tcBorders>
              <w:tl2br w:val="nil"/>
              <w:tr2bl w:val="nil"/>
            </w:tcBorders>
            <w:noWrap/>
            <w:vAlign w:val="center"/>
          </w:tcPr>
          <w:p w14:paraId="480B33E1">
            <w:pPr>
              <w:keepNext w:val="0"/>
              <w:keepLines w:val="0"/>
              <w:pageBreakBefore w:val="0"/>
              <w:widowControl/>
              <w:suppressLineNumbers w:val="0"/>
              <w:wordWrap/>
              <w:overflowPunct/>
              <w:topLinePunct w:val="0"/>
              <w:bidi w:val="0"/>
              <w:adjustRightInd w:val="0"/>
              <w:snapToGrid w:val="0"/>
              <w:spacing w:line="240" w:lineRule="atLeast"/>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安  置  意  向</w:t>
            </w:r>
          </w:p>
        </w:tc>
        <w:tc>
          <w:tcPr>
            <w:tcW w:w="9294" w:type="dxa"/>
            <w:vMerge w:val="restart"/>
            <w:tcBorders>
              <w:tl2br w:val="nil"/>
              <w:tr2bl w:val="nil"/>
            </w:tcBorders>
            <w:noWrap/>
            <w:vAlign w:val="center"/>
          </w:tcPr>
          <w:p w14:paraId="188C8DB0">
            <w:pPr>
              <w:keepNext w:val="0"/>
              <w:keepLines w:val="0"/>
              <w:pageBreakBefore w:val="0"/>
              <w:widowControl/>
              <w:suppressLineNumbers w:val="0"/>
              <w:wordWrap/>
              <w:overflowPunct/>
              <w:topLinePunct w:val="0"/>
              <w:bidi w:val="0"/>
              <w:adjustRightInd w:val="0"/>
              <w:snapToGrid w:val="0"/>
              <w:spacing w:line="240" w:lineRule="atLeast"/>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学生分流详细安置去向及意见</w:t>
            </w:r>
          </w:p>
          <w:p w14:paraId="0A396B7F">
            <w:pPr>
              <w:keepNext w:val="0"/>
              <w:keepLines w:val="0"/>
              <w:pageBreakBefore w:val="0"/>
              <w:widowControl/>
              <w:suppressLineNumbers w:val="0"/>
              <w:wordWrap/>
              <w:overflowPunct/>
              <w:topLinePunct w:val="0"/>
              <w:bidi w:val="0"/>
              <w:adjustRightInd w:val="0"/>
              <w:snapToGrid w:val="0"/>
              <w:spacing w:line="240" w:lineRule="atLeast"/>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（人员名单另见学校摸底表）</w:t>
            </w:r>
          </w:p>
        </w:tc>
      </w:tr>
      <w:tr w14:paraId="786A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blHeader/>
        </w:trPr>
        <w:tc>
          <w:tcPr>
            <w:tcW w:w="831" w:type="dxa"/>
            <w:vMerge w:val="continue"/>
            <w:tcBorders>
              <w:tl2br w:val="nil"/>
              <w:tr2bl w:val="nil"/>
            </w:tcBorders>
            <w:noWrap/>
            <w:vAlign w:val="center"/>
          </w:tcPr>
          <w:p w14:paraId="47088D74">
            <w:pPr>
              <w:jc w:val="center"/>
              <w:rPr>
                <w:rFonts w:hint="eastAsia" w:ascii="宋体" w:hAnsi="宋体" w:eastAsia="宋体" w:cs="宋体"/>
                <w:b w:val="0"/>
                <w:bCs w:val="0"/>
                <w:color w:val="auto"/>
                <w:sz w:val="21"/>
                <w:szCs w:val="21"/>
                <w:lang w:bidi="en-US"/>
              </w:rPr>
            </w:pPr>
          </w:p>
        </w:tc>
        <w:tc>
          <w:tcPr>
            <w:tcW w:w="682" w:type="dxa"/>
            <w:vMerge w:val="continue"/>
            <w:tcBorders>
              <w:tl2br w:val="nil"/>
              <w:tr2bl w:val="nil"/>
            </w:tcBorders>
            <w:noWrap/>
            <w:vAlign w:val="center"/>
          </w:tcPr>
          <w:p w14:paraId="33A8651C">
            <w:pPr>
              <w:jc w:val="center"/>
              <w:rPr>
                <w:rFonts w:hint="eastAsia" w:ascii="宋体" w:hAnsi="宋体" w:eastAsia="宋体" w:cs="宋体"/>
                <w:b w:val="0"/>
                <w:bCs w:val="0"/>
                <w:color w:val="auto"/>
                <w:sz w:val="21"/>
                <w:szCs w:val="21"/>
                <w:lang w:bidi="en-US"/>
              </w:rPr>
            </w:pPr>
          </w:p>
        </w:tc>
        <w:tc>
          <w:tcPr>
            <w:tcW w:w="767" w:type="dxa"/>
            <w:vMerge w:val="continue"/>
            <w:tcBorders>
              <w:tl2br w:val="nil"/>
              <w:tr2bl w:val="nil"/>
            </w:tcBorders>
            <w:noWrap/>
            <w:vAlign w:val="center"/>
          </w:tcPr>
          <w:p w14:paraId="1040D24A">
            <w:pPr>
              <w:jc w:val="center"/>
              <w:rPr>
                <w:rFonts w:hint="eastAsia" w:ascii="宋体" w:hAnsi="宋体" w:eastAsia="宋体" w:cs="宋体"/>
                <w:b w:val="0"/>
                <w:bCs w:val="0"/>
                <w:color w:val="auto"/>
                <w:sz w:val="21"/>
                <w:szCs w:val="21"/>
                <w:lang w:bidi="en-US"/>
              </w:rPr>
            </w:pPr>
          </w:p>
        </w:tc>
        <w:tc>
          <w:tcPr>
            <w:tcW w:w="1353" w:type="dxa"/>
            <w:gridSpan w:val="2"/>
            <w:tcBorders>
              <w:tl2br w:val="nil"/>
              <w:tr2bl w:val="nil"/>
            </w:tcBorders>
            <w:noWrap/>
            <w:vAlign w:val="center"/>
          </w:tcPr>
          <w:p w14:paraId="2ADE9617">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小学阶段</w:t>
            </w:r>
          </w:p>
        </w:tc>
        <w:tc>
          <w:tcPr>
            <w:tcW w:w="1368" w:type="dxa"/>
            <w:gridSpan w:val="2"/>
            <w:tcBorders>
              <w:tl2br w:val="nil"/>
              <w:tr2bl w:val="nil"/>
            </w:tcBorders>
            <w:noWrap/>
            <w:vAlign w:val="center"/>
          </w:tcPr>
          <w:p w14:paraId="53198C14">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初中阶段</w:t>
            </w:r>
          </w:p>
        </w:tc>
        <w:tc>
          <w:tcPr>
            <w:tcW w:w="9294" w:type="dxa"/>
            <w:vMerge w:val="continue"/>
            <w:tcBorders>
              <w:tl2br w:val="nil"/>
              <w:tr2bl w:val="nil"/>
            </w:tcBorders>
            <w:noWrap/>
            <w:vAlign w:val="center"/>
          </w:tcPr>
          <w:p w14:paraId="410F1FA6">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r>
      <w:tr w14:paraId="22A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blHeader/>
        </w:trPr>
        <w:tc>
          <w:tcPr>
            <w:tcW w:w="831" w:type="dxa"/>
            <w:vMerge w:val="continue"/>
            <w:tcBorders>
              <w:tl2br w:val="nil"/>
              <w:tr2bl w:val="nil"/>
            </w:tcBorders>
            <w:noWrap/>
            <w:vAlign w:val="center"/>
          </w:tcPr>
          <w:p w14:paraId="3E624CE7">
            <w:pPr>
              <w:jc w:val="center"/>
              <w:rPr>
                <w:rFonts w:hint="eastAsia" w:ascii="宋体" w:hAnsi="宋体" w:eastAsia="宋体" w:cs="宋体"/>
                <w:b w:val="0"/>
                <w:bCs w:val="0"/>
                <w:color w:val="auto"/>
                <w:sz w:val="21"/>
                <w:szCs w:val="21"/>
                <w:lang w:bidi="en-US"/>
              </w:rPr>
            </w:pPr>
          </w:p>
        </w:tc>
        <w:tc>
          <w:tcPr>
            <w:tcW w:w="682" w:type="dxa"/>
            <w:vMerge w:val="continue"/>
            <w:tcBorders>
              <w:tl2br w:val="nil"/>
              <w:tr2bl w:val="nil"/>
            </w:tcBorders>
            <w:noWrap/>
            <w:vAlign w:val="center"/>
          </w:tcPr>
          <w:p w14:paraId="2E1BB3F2">
            <w:pPr>
              <w:jc w:val="center"/>
              <w:rPr>
                <w:rFonts w:hint="eastAsia" w:ascii="宋体" w:hAnsi="宋体" w:eastAsia="宋体" w:cs="宋体"/>
                <w:b w:val="0"/>
                <w:bCs w:val="0"/>
                <w:color w:val="auto"/>
                <w:sz w:val="21"/>
                <w:szCs w:val="21"/>
                <w:lang w:bidi="en-US"/>
              </w:rPr>
            </w:pPr>
          </w:p>
        </w:tc>
        <w:tc>
          <w:tcPr>
            <w:tcW w:w="767" w:type="dxa"/>
            <w:vMerge w:val="continue"/>
            <w:tcBorders>
              <w:tl2br w:val="nil"/>
              <w:tr2bl w:val="nil"/>
            </w:tcBorders>
            <w:noWrap/>
            <w:vAlign w:val="center"/>
          </w:tcPr>
          <w:p w14:paraId="3C7462B5">
            <w:pPr>
              <w:jc w:val="center"/>
              <w:rPr>
                <w:rFonts w:hint="eastAsia" w:ascii="宋体" w:hAnsi="宋体" w:eastAsia="宋体" w:cs="宋体"/>
                <w:b w:val="0"/>
                <w:bCs w:val="0"/>
                <w:color w:val="auto"/>
                <w:sz w:val="21"/>
                <w:szCs w:val="21"/>
                <w:lang w:bidi="en-US"/>
              </w:rPr>
            </w:pPr>
          </w:p>
        </w:tc>
        <w:tc>
          <w:tcPr>
            <w:tcW w:w="661" w:type="dxa"/>
            <w:tcBorders>
              <w:tl2br w:val="nil"/>
              <w:tr2bl w:val="nil"/>
            </w:tcBorders>
            <w:noWrap/>
            <w:vAlign w:val="center"/>
          </w:tcPr>
          <w:p w14:paraId="269DB90C">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城区</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小学</w:t>
            </w:r>
          </w:p>
        </w:tc>
        <w:tc>
          <w:tcPr>
            <w:tcW w:w="692" w:type="dxa"/>
            <w:tcBorders>
              <w:tl2br w:val="nil"/>
              <w:tr2bl w:val="nil"/>
            </w:tcBorders>
            <w:noWrap/>
            <w:vAlign w:val="center"/>
          </w:tcPr>
          <w:p w14:paraId="7D6C82E9">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农村</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小学</w:t>
            </w:r>
          </w:p>
        </w:tc>
        <w:tc>
          <w:tcPr>
            <w:tcW w:w="676" w:type="dxa"/>
            <w:tcBorders>
              <w:tl2br w:val="nil"/>
              <w:tr2bl w:val="nil"/>
            </w:tcBorders>
            <w:noWrap/>
            <w:vAlign w:val="center"/>
          </w:tcPr>
          <w:p w14:paraId="29AC5FD0">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城区</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初中</w:t>
            </w:r>
          </w:p>
        </w:tc>
        <w:tc>
          <w:tcPr>
            <w:tcW w:w="692" w:type="dxa"/>
            <w:tcBorders>
              <w:tl2br w:val="nil"/>
              <w:tr2bl w:val="nil"/>
            </w:tcBorders>
            <w:noWrap/>
            <w:vAlign w:val="center"/>
          </w:tcPr>
          <w:p w14:paraId="09983D61">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农村</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初中</w:t>
            </w:r>
          </w:p>
        </w:tc>
        <w:tc>
          <w:tcPr>
            <w:tcW w:w="9294" w:type="dxa"/>
            <w:vMerge w:val="continue"/>
            <w:tcBorders>
              <w:tl2br w:val="nil"/>
              <w:tr2bl w:val="nil"/>
            </w:tcBorders>
            <w:noWrap/>
            <w:vAlign w:val="center"/>
          </w:tcPr>
          <w:p w14:paraId="1D87B08E">
            <w:pPr>
              <w:jc w:val="center"/>
              <w:rPr>
                <w:rFonts w:hint="eastAsia" w:ascii="宋体" w:hAnsi="宋体" w:eastAsia="宋体" w:cs="宋体"/>
                <w:b w:val="0"/>
                <w:bCs w:val="0"/>
                <w:color w:val="auto"/>
                <w:sz w:val="21"/>
                <w:szCs w:val="21"/>
              </w:rPr>
            </w:pPr>
          </w:p>
        </w:tc>
      </w:tr>
      <w:tr w14:paraId="50CF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restart"/>
            <w:tcBorders>
              <w:tl2br w:val="nil"/>
              <w:tr2bl w:val="nil"/>
            </w:tcBorders>
            <w:noWrap/>
            <w:vAlign w:val="center"/>
          </w:tcPr>
          <w:p w14:paraId="6CD69D05">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聂桥</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学校</w:t>
            </w:r>
          </w:p>
        </w:tc>
        <w:tc>
          <w:tcPr>
            <w:tcW w:w="682" w:type="dxa"/>
            <w:tcBorders>
              <w:tl2br w:val="nil"/>
              <w:tr2bl w:val="nil"/>
            </w:tcBorders>
            <w:noWrap/>
            <w:vAlign w:val="center"/>
          </w:tcPr>
          <w:p w14:paraId="06270665">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一</w:t>
            </w:r>
          </w:p>
        </w:tc>
        <w:tc>
          <w:tcPr>
            <w:tcW w:w="767" w:type="dxa"/>
            <w:tcBorders>
              <w:tl2br w:val="nil"/>
              <w:tr2bl w:val="nil"/>
            </w:tcBorders>
            <w:noWrap/>
            <w:vAlign w:val="center"/>
          </w:tcPr>
          <w:p w14:paraId="0B90C72F">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61" w:type="dxa"/>
            <w:tcBorders>
              <w:tl2br w:val="nil"/>
              <w:tr2bl w:val="nil"/>
            </w:tcBorders>
            <w:noWrap/>
            <w:vAlign w:val="center"/>
          </w:tcPr>
          <w:p w14:paraId="65CCC313">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1</w:t>
            </w:r>
          </w:p>
        </w:tc>
        <w:tc>
          <w:tcPr>
            <w:tcW w:w="692" w:type="dxa"/>
            <w:tcBorders>
              <w:tl2br w:val="nil"/>
              <w:tr2bl w:val="nil"/>
            </w:tcBorders>
            <w:noWrap/>
            <w:vAlign w:val="center"/>
          </w:tcPr>
          <w:p w14:paraId="577B04F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676" w:type="dxa"/>
            <w:tcBorders>
              <w:tl2br w:val="nil"/>
              <w:tr2bl w:val="nil"/>
            </w:tcBorders>
            <w:noWrap/>
            <w:vAlign w:val="center"/>
          </w:tcPr>
          <w:p w14:paraId="6E8EAEB0">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4922D68B">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3B1686FF">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4FFB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3C42CEA8">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094C8EB5">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二</w:t>
            </w:r>
          </w:p>
        </w:tc>
        <w:tc>
          <w:tcPr>
            <w:tcW w:w="767" w:type="dxa"/>
            <w:tcBorders>
              <w:tl2br w:val="nil"/>
              <w:tr2bl w:val="nil"/>
            </w:tcBorders>
            <w:noWrap/>
            <w:vAlign w:val="center"/>
          </w:tcPr>
          <w:p w14:paraId="777FC847">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2</w:t>
            </w:r>
          </w:p>
        </w:tc>
        <w:tc>
          <w:tcPr>
            <w:tcW w:w="661" w:type="dxa"/>
            <w:tcBorders>
              <w:tl2br w:val="nil"/>
              <w:tr2bl w:val="nil"/>
            </w:tcBorders>
            <w:noWrap/>
            <w:vAlign w:val="center"/>
          </w:tcPr>
          <w:p w14:paraId="78570079">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37376DC3">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676" w:type="dxa"/>
            <w:tcBorders>
              <w:tl2br w:val="nil"/>
              <w:tr2bl w:val="nil"/>
            </w:tcBorders>
            <w:noWrap/>
            <w:vAlign w:val="center"/>
          </w:tcPr>
          <w:p w14:paraId="3F6699FC">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68A79E20">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126AAC73">
            <w:pPr>
              <w:keepNext w:val="0"/>
              <w:keepLines w:val="0"/>
              <w:widowControl/>
              <w:suppressLineNumbers w:val="0"/>
              <w:jc w:val="left"/>
              <w:textAlignment w:val="center"/>
              <w:rPr>
                <w:rFonts w:hint="eastAsia" w:ascii="宋体" w:hAnsi="宋体" w:eastAsia="宋体" w:cs="宋体"/>
                <w:i w:val="0"/>
                <w:iCs w:val="0"/>
                <w:snapToGrid w:val="0"/>
                <w:color w:val="000000"/>
                <w:sz w:val="22"/>
                <w:szCs w:val="22"/>
                <w:u w:val="none"/>
                <w:lang w:val="en-US" w:eastAsia="en-US" w:bidi="ar-SA"/>
              </w:rPr>
            </w:pPr>
          </w:p>
        </w:tc>
      </w:tr>
      <w:tr w14:paraId="6C9E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blHeader/>
        </w:trPr>
        <w:tc>
          <w:tcPr>
            <w:tcW w:w="831" w:type="dxa"/>
            <w:vMerge w:val="continue"/>
            <w:tcBorders>
              <w:tl2br w:val="nil"/>
              <w:tr2bl w:val="nil"/>
            </w:tcBorders>
            <w:noWrap/>
            <w:vAlign w:val="center"/>
          </w:tcPr>
          <w:p w14:paraId="0A1C5AFC">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0225381D">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三</w:t>
            </w:r>
          </w:p>
        </w:tc>
        <w:tc>
          <w:tcPr>
            <w:tcW w:w="767" w:type="dxa"/>
            <w:tcBorders>
              <w:tl2br w:val="nil"/>
              <w:tr2bl w:val="nil"/>
            </w:tcBorders>
            <w:noWrap/>
            <w:vAlign w:val="center"/>
          </w:tcPr>
          <w:p w14:paraId="22D7B75F">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2</w:t>
            </w:r>
          </w:p>
        </w:tc>
        <w:tc>
          <w:tcPr>
            <w:tcW w:w="661" w:type="dxa"/>
            <w:tcBorders>
              <w:tl2br w:val="nil"/>
              <w:tr2bl w:val="nil"/>
            </w:tcBorders>
            <w:noWrap/>
            <w:vAlign w:val="center"/>
          </w:tcPr>
          <w:p w14:paraId="5669EA77">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761C62C8">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2</w:t>
            </w:r>
          </w:p>
        </w:tc>
        <w:tc>
          <w:tcPr>
            <w:tcW w:w="676" w:type="dxa"/>
            <w:tcBorders>
              <w:tl2br w:val="nil"/>
              <w:tr2bl w:val="nil"/>
            </w:tcBorders>
            <w:noWrap/>
            <w:vAlign w:val="center"/>
          </w:tcPr>
          <w:p w14:paraId="504B352B">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7761EC26">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358DB999">
            <w:pPr>
              <w:keepNext w:val="0"/>
              <w:keepLines w:val="0"/>
              <w:widowControl/>
              <w:suppressLineNumbers w:val="0"/>
              <w:jc w:val="left"/>
              <w:textAlignment w:val="center"/>
              <w:rPr>
                <w:rFonts w:hint="eastAsia" w:ascii="宋体" w:hAnsi="宋体" w:eastAsia="宋体" w:cs="宋体"/>
                <w:i w:val="0"/>
                <w:iCs w:val="0"/>
                <w:snapToGrid w:val="0"/>
                <w:color w:val="000000"/>
                <w:sz w:val="22"/>
                <w:szCs w:val="22"/>
                <w:u w:val="none"/>
                <w:lang w:val="en-US" w:eastAsia="en-US" w:bidi="ar-SA"/>
              </w:rPr>
            </w:pPr>
          </w:p>
        </w:tc>
      </w:tr>
      <w:tr w14:paraId="1307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57DD8904">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2C38AA22">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四</w:t>
            </w:r>
          </w:p>
        </w:tc>
        <w:tc>
          <w:tcPr>
            <w:tcW w:w="767" w:type="dxa"/>
            <w:tcBorders>
              <w:tl2br w:val="nil"/>
              <w:tr2bl w:val="nil"/>
            </w:tcBorders>
            <w:noWrap/>
            <w:vAlign w:val="center"/>
          </w:tcPr>
          <w:p w14:paraId="2379ACCB">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61" w:type="dxa"/>
            <w:tcBorders>
              <w:tl2br w:val="nil"/>
              <w:tr2bl w:val="nil"/>
            </w:tcBorders>
            <w:noWrap/>
            <w:vAlign w:val="center"/>
          </w:tcPr>
          <w:p w14:paraId="4FEF5E2D">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78449CB1">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76" w:type="dxa"/>
            <w:tcBorders>
              <w:tl2br w:val="nil"/>
              <w:tr2bl w:val="nil"/>
            </w:tcBorders>
            <w:noWrap/>
            <w:vAlign w:val="center"/>
          </w:tcPr>
          <w:p w14:paraId="62AC42B1">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7D0BA50F">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4437201C">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54DD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08FB02DB">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2DB31241">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五</w:t>
            </w:r>
          </w:p>
        </w:tc>
        <w:tc>
          <w:tcPr>
            <w:tcW w:w="767" w:type="dxa"/>
            <w:tcBorders>
              <w:tl2br w:val="nil"/>
              <w:tr2bl w:val="nil"/>
            </w:tcBorders>
            <w:noWrap/>
            <w:vAlign w:val="center"/>
          </w:tcPr>
          <w:p w14:paraId="16F40367">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61" w:type="dxa"/>
            <w:tcBorders>
              <w:tl2br w:val="nil"/>
              <w:tr2bl w:val="nil"/>
            </w:tcBorders>
            <w:noWrap/>
            <w:vAlign w:val="center"/>
          </w:tcPr>
          <w:p w14:paraId="77D8BCB4">
            <w:pPr>
              <w:jc w:val="center"/>
              <w:rPr>
                <w:rFonts w:hint="eastAsia" w:ascii="宋体" w:hAnsi="宋体" w:eastAsia="宋体" w:cs="宋体"/>
                <w:b w:val="0"/>
                <w:bCs w:val="0"/>
                <w:color w:val="auto"/>
                <w:sz w:val="21"/>
                <w:szCs w:val="21"/>
                <w:lang w:val="en-US" w:eastAsia="zh-CN" w:bidi="en-US"/>
              </w:rPr>
            </w:pPr>
            <w:r>
              <w:rPr>
                <w:rFonts w:hint="eastAsia" w:ascii="宋体" w:hAnsi="宋体" w:eastAsia="宋体" w:cs="宋体"/>
                <w:b w:val="0"/>
                <w:bCs w:val="0"/>
                <w:color w:val="auto"/>
                <w:sz w:val="21"/>
                <w:szCs w:val="21"/>
                <w:lang w:val="en-US" w:eastAsia="zh-CN" w:bidi="en-US"/>
              </w:rPr>
              <w:t>1</w:t>
            </w:r>
          </w:p>
        </w:tc>
        <w:tc>
          <w:tcPr>
            <w:tcW w:w="692" w:type="dxa"/>
            <w:tcBorders>
              <w:tl2br w:val="nil"/>
              <w:tr2bl w:val="nil"/>
            </w:tcBorders>
            <w:noWrap/>
            <w:vAlign w:val="center"/>
          </w:tcPr>
          <w:p w14:paraId="5481906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676" w:type="dxa"/>
            <w:tcBorders>
              <w:tl2br w:val="nil"/>
              <w:tr2bl w:val="nil"/>
            </w:tcBorders>
            <w:noWrap/>
            <w:vAlign w:val="center"/>
          </w:tcPr>
          <w:p w14:paraId="170D1F84">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6D893505">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394AD8F0">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75DC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37703FB4">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5C48F119">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六</w:t>
            </w:r>
          </w:p>
        </w:tc>
        <w:tc>
          <w:tcPr>
            <w:tcW w:w="767" w:type="dxa"/>
            <w:tcBorders>
              <w:tl2br w:val="nil"/>
              <w:tr2bl w:val="nil"/>
            </w:tcBorders>
            <w:noWrap/>
            <w:vAlign w:val="center"/>
          </w:tcPr>
          <w:p w14:paraId="170957C3">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61" w:type="dxa"/>
            <w:tcBorders>
              <w:tl2br w:val="nil"/>
              <w:tr2bl w:val="nil"/>
            </w:tcBorders>
            <w:noWrap/>
            <w:vAlign w:val="center"/>
          </w:tcPr>
          <w:p w14:paraId="173EB062">
            <w:pPr>
              <w:jc w:val="center"/>
              <w:rPr>
                <w:rFonts w:hint="eastAsia" w:ascii="宋体" w:hAnsi="宋体" w:eastAsia="宋体" w:cs="宋体"/>
                <w:b w:val="0"/>
                <w:bCs w:val="0"/>
                <w:color w:val="auto"/>
                <w:sz w:val="21"/>
                <w:szCs w:val="21"/>
                <w:lang w:val="en-US" w:eastAsia="zh-CN" w:bidi="en-US"/>
              </w:rPr>
            </w:pPr>
            <w:r>
              <w:rPr>
                <w:rFonts w:hint="eastAsia" w:ascii="宋体" w:hAnsi="宋体" w:eastAsia="宋体" w:cs="宋体"/>
                <w:b w:val="0"/>
                <w:bCs w:val="0"/>
                <w:color w:val="auto"/>
                <w:sz w:val="21"/>
                <w:szCs w:val="21"/>
                <w:lang w:val="en-US" w:eastAsia="zh-CN" w:bidi="en-US"/>
              </w:rPr>
              <w:t>1</w:t>
            </w:r>
          </w:p>
        </w:tc>
        <w:tc>
          <w:tcPr>
            <w:tcW w:w="692" w:type="dxa"/>
            <w:tcBorders>
              <w:tl2br w:val="nil"/>
              <w:tr2bl w:val="nil"/>
            </w:tcBorders>
            <w:noWrap/>
            <w:vAlign w:val="center"/>
          </w:tcPr>
          <w:p w14:paraId="2DB5136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676" w:type="dxa"/>
            <w:tcBorders>
              <w:tl2br w:val="nil"/>
              <w:tr2bl w:val="nil"/>
            </w:tcBorders>
            <w:noWrap/>
            <w:vAlign w:val="center"/>
          </w:tcPr>
          <w:p w14:paraId="5C3ADCFC">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27EEB09A">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32ECA861">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425B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2E479CF6">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3364A1D4">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七</w:t>
            </w:r>
          </w:p>
        </w:tc>
        <w:tc>
          <w:tcPr>
            <w:tcW w:w="767" w:type="dxa"/>
            <w:tcBorders>
              <w:tl2br w:val="nil"/>
              <w:tr2bl w:val="nil"/>
            </w:tcBorders>
            <w:noWrap/>
            <w:vAlign w:val="center"/>
          </w:tcPr>
          <w:p w14:paraId="1806E08E">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7</w:t>
            </w:r>
          </w:p>
        </w:tc>
        <w:tc>
          <w:tcPr>
            <w:tcW w:w="661" w:type="dxa"/>
            <w:tcBorders>
              <w:tl2br w:val="nil"/>
              <w:tr2bl w:val="nil"/>
            </w:tcBorders>
            <w:noWrap/>
            <w:vAlign w:val="center"/>
          </w:tcPr>
          <w:p w14:paraId="5428844C">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69CD525E">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322B0F43">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1</w:t>
            </w:r>
          </w:p>
        </w:tc>
        <w:tc>
          <w:tcPr>
            <w:tcW w:w="692" w:type="dxa"/>
            <w:tcBorders>
              <w:tl2br w:val="nil"/>
              <w:tr2bl w:val="nil"/>
            </w:tcBorders>
            <w:noWrap/>
            <w:vAlign w:val="center"/>
          </w:tcPr>
          <w:p w14:paraId="709CF447">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6</w:t>
            </w:r>
          </w:p>
        </w:tc>
        <w:tc>
          <w:tcPr>
            <w:tcW w:w="9294" w:type="dxa"/>
            <w:tcBorders>
              <w:tl2br w:val="nil"/>
              <w:tr2bl w:val="nil"/>
            </w:tcBorders>
            <w:noWrap/>
            <w:vAlign w:val="center"/>
          </w:tcPr>
          <w:p w14:paraId="5FF7E8EC">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065B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7673218D">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73948465">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八</w:t>
            </w:r>
          </w:p>
        </w:tc>
        <w:tc>
          <w:tcPr>
            <w:tcW w:w="767" w:type="dxa"/>
            <w:tcBorders>
              <w:tl2br w:val="nil"/>
              <w:tr2bl w:val="nil"/>
            </w:tcBorders>
            <w:noWrap/>
            <w:vAlign w:val="center"/>
          </w:tcPr>
          <w:p w14:paraId="7C268D76">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61" w:type="dxa"/>
            <w:tcBorders>
              <w:tl2br w:val="nil"/>
              <w:tr2bl w:val="nil"/>
            </w:tcBorders>
            <w:noWrap/>
            <w:vAlign w:val="center"/>
          </w:tcPr>
          <w:p w14:paraId="48C67EAB">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6812A308">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18619E68">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1</w:t>
            </w:r>
          </w:p>
        </w:tc>
        <w:tc>
          <w:tcPr>
            <w:tcW w:w="692" w:type="dxa"/>
            <w:tcBorders>
              <w:tl2br w:val="nil"/>
              <w:tr2bl w:val="nil"/>
            </w:tcBorders>
            <w:noWrap/>
            <w:vAlign w:val="center"/>
          </w:tcPr>
          <w:p w14:paraId="48F547B9">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3</w:t>
            </w:r>
          </w:p>
        </w:tc>
        <w:tc>
          <w:tcPr>
            <w:tcW w:w="9294" w:type="dxa"/>
            <w:tcBorders>
              <w:tl2br w:val="nil"/>
              <w:tr2bl w:val="nil"/>
            </w:tcBorders>
            <w:noWrap/>
            <w:vAlign w:val="center"/>
          </w:tcPr>
          <w:p w14:paraId="084B2D9F">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254E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39153CB6">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24842F7B">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九</w:t>
            </w:r>
          </w:p>
        </w:tc>
        <w:tc>
          <w:tcPr>
            <w:tcW w:w="767" w:type="dxa"/>
            <w:tcBorders>
              <w:tl2br w:val="nil"/>
              <w:tr2bl w:val="nil"/>
            </w:tcBorders>
            <w:noWrap/>
            <w:vAlign w:val="center"/>
          </w:tcPr>
          <w:p w14:paraId="72D98969">
            <w:pPr>
              <w:keepNext w:val="0"/>
              <w:keepLines w:val="0"/>
              <w:widowControl/>
              <w:suppressLineNumbers w:val="0"/>
              <w:jc w:val="center"/>
              <w:textAlignment w:val="center"/>
              <w:rPr>
                <w:rFonts w:hint="default" w:ascii="宋体" w:hAnsi="宋体" w:eastAsia="宋体" w:cs="宋体"/>
                <w:b w:val="0"/>
                <w:bCs w:val="0"/>
                <w:color w:val="auto"/>
                <w:sz w:val="21"/>
                <w:szCs w:val="21"/>
                <w:lang w:val="en-US" w:bidi="en-US"/>
              </w:rPr>
            </w:pPr>
            <w:r>
              <w:rPr>
                <w:rFonts w:hint="eastAsia" w:ascii="宋体" w:hAnsi="宋体" w:eastAsia="宋体" w:cs="宋体"/>
                <w:b w:val="0"/>
                <w:bCs w:val="0"/>
                <w:i w:val="0"/>
                <w:iCs w:val="0"/>
                <w:snapToGrid w:val="0"/>
                <w:color w:val="auto"/>
                <w:kern w:val="0"/>
                <w:sz w:val="21"/>
                <w:szCs w:val="21"/>
                <w:u w:val="none"/>
                <w:lang w:val="en-US" w:eastAsia="zh-CN" w:bidi="ar"/>
              </w:rPr>
              <w:t>11</w:t>
            </w:r>
          </w:p>
        </w:tc>
        <w:tc>
          <w:tcPr>
            <w:tcW w:w="661" w:type="dxa"/>
            <w:tcBorders>
              <w:tl2br w:val="nil"/>
              <w:tr2bl w:val="nil"/>
            </w:tcBorders>
            <w:noWrap/>
            <w:vAlign w:val="center"/>
          </w:tcPr>
          <w:p w14:paraId="3FE9C163">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1EA8B8E1">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35D7810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692" w:type="dxa"/>
            <w:tcBorders>
              <w:tl2br w:val="nil"/>
              <w:tr2bl w:val="nil"/>
            </w:tcBorders>
            <w:noWrap/>
            <w:vAlign w:val="center"/>
          </w:tcPr>
          <w:p w14:paraId="7A5936A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9294" w:type="dxa"/>
            <w:tcBorders>
              <w:tl2br w:val="nil"/>
              <w:tr2bl w:val="nil"/>
            </w:tcBorders>
            <w:noWrap/>
            <w:vAlign w:val="center"/>
          </w:tcPr>
          <w:p w14:paraId="1B225A70">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09FA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1D8B1122">
            <w:pPr>
              <w:jc w:val="center"/>
              <w:rPr>
                <w:rFonts w:hint="eastAsia" w:ascii="宋体" w:hAnsi="宋体" w:eastAsia="宋体" w:cs="宋体"/>
                <w:b w:val="0"/>
                <w:bCs w:val="0"/>
                <w:color w:val="auto"/>
                <w:sz w:val="21"/>
                <w:szCs w:val="21"/>
                <w:lang w:bidi="en-US"/>
              </w:rPr>
            </w:pPr>
          </w:p>
        </w:tc>
        <w:tc>
          <w:tcPr>
            <w:tcW w:w="682" w:type="dxa"/>
            <w:tcBorders>
              <w:tl2br w:val="nil"/>
              <w:tr2bl w:val="nil"/>
            </w:tcBorders>
            <w:noWrap/>
            <w:vAlign w:val="center"/>
          </w:tcPr>
          <w:p w14:paraId="1F4BF675">
            <w:pPr>
              <w:keepNext w:val="0"/>
              <w:keepLines w:val="0"/>
              <w:widowControl/>
              <w:suppressLineNumbers w:val="0"/>
              <w:jc w:val="center"/>
              <w:textAlignment w:val="center"/>
              <w:rPr>
                <w:rFonts w:hint="eastAsia" w:ascii="宋体" w:hAnsi="宋体" w:eastAsia="宋体" w:cs="宋体"/>
                <w:b/>
                <w:bCs/>
                <w:color w:val="auto"/>
                <w:sz w:val="21"/>
                <w:szCs w:val="21"/>
                <w:lang w:bidi="en-US"/>
              </w:rPr>
            </w:pPr>
            <w:r>
              <w:rPr>
                <w:rFonts w:hint="eastAsia" w:ascii="宋体" w:hAnsi="宋体" w:eastAsia="宋体" w:cs="宋体"/>
                <w:b/>
                <w:bCs/>
                <w:i w:val="0"/>
                <w:iCs w:val="0"/>
                <w:snapToGrid w:val="0"/>
                <w:color w:val="auto"/>
                <w:kern w:val="0"/>
                <w:sz w:val="21"/>
                <w:szCs w:val="21"/>
                <w:u w:val="none"/>
                <w:lang w:val="en-US" w:eastAsia="zh-CN" w:bidi="ar"/>
              </w:rPr>
              <w:t>小计</w:t>
            </w:r>
          </w:p>
        </w:tc>
        <w:tc>
          <w:tcPr>
            <w:tcW w:w="767" w:type="dxa"/>
            <w:tcBorders>
              <w:tl2br w:val="nil"/>
              <w:tr2bl w:val="nil"/>
            </w:tcBorders>
            <w:noWrap/>
            <w:vAlign w:val="center"/>
          </w:tcPr>
          <w:p w14:paraId="1B4F2816">
            <w:pPr>
              <w:keepNext w:val="0"/>
              <w:keepLines w:val="0"/>
              <w:widowControl/>
              <w:suppressLineNumbers w:val="0"/>
              <w:jc w:val="center"/>
              <w:textAlignment w:val="center"/>
              <w:rPr>
                <w:rFonts w:hint="eastAsia" w:ascii="宋体" w:hAnsi="宋体" w:eastAsia="宋体" w:cs="宋体"/>
                <w:b/>
                <w:bCs/>
                <w:color w:val="auto"/>
                <w:sz w:val="21"/>
                <w:szCs w:val="21"/>
                <w:lang w:bidi="en-US"/>
              </w:rPr>
            </w:pPr>
            <w:r>
              <w:rPr>
                <w:rFonts w:hint="eastAsia" w:ascii="宋体" w:hAnsi="宋体" w:eastAsia="宋体" w:cs="宋体"/>
                <w:b/>
                <w:bCs/>
                <w:i w:val="0"/>
                <w:iCs w:val="0"/>
                <w:snapToGrid w:val="0"/>
                <w:color w:val="auto"/>
                <w:kern w:val="0"/>
                <w:sz w:val="21"/>
                <w:szCs w:val="21"/>
                <w:u w:val="none"/>
                <w:lang w:val="en-US" w:eastAsia="zh-CN" w:bidi="ar"/>
              </w:rPr>
              <w:t>42</w:t>
            </w:r>
          </w:p>
        </w:tc>
        <w:tc>
          <w:tcPr>
            <w:tcW w:w="661" w:type="dxa"/>
            <w:tcBorders>
              <w:tl2br w:val="nil"/>
              <w:tr2bl w:val="nil"/>
            </w:tcBorders>
            <w:noWrap/>
            <w:vAlign w:val="center"/>
          </w:tcPr>
          <w:p w14:paraId="5ED03346">
            <w:pPr>
              <w:jc w:val="center"/>
              <w:rPr>
                <w:rFonts w:hint="eastAsia" w:ascii="宋体" w:hAnsi="宋体" w:eastAsia="宋体" w:cs="宋体"/>
                <w:b/>
                <w:bCs/>
                <w:color w:val="auto"/>
                <w:sz w:val="21"/>
                <w:szCs w:val="21"/>
                <w:lang w:val="en-US" w:eastAsia="zh-CN" w:bidi="en-US"/>
              </w:rPr>
            </w:pPr>
            <w:r>
              <w:rPr>
                <w:rFonts w:hint="eastAsia" w:ascii="宋体" w:hAnsi="宋体" w:eastAsia="宋体" w:cs="宋体"/>
                <w:b/>
                <w:bCs/>
                <w:color w:val="auto"/>
                <w:sz w:val="21"/>
                <w:szCs w:val="21"/>
                <w:lang w:val="en-US" w:eastAsia="zh-CN" w:bidi="en-US"/>
              </w:rPr>
              <w:t>3</w:t>
            </w:r>
          </w:p>
        </w:tc>
        <w:tc>
          <w:tcPr>
            <w:tcW w:w="692" w:type="dxa"/>
            <w:tcBorders>
              <w:tl2br w:val="nil"/>
              <w:tr2bl w:val="nil"/>
            </w:tcBorders>
            <w:noWrap/>
            <w:vAlign w:val="center"/>
          </w:tcPr>
          <w:p w14:paraId="30AB14E0">
            <w:pPr>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17</w:t>
            </w:r>
          </w:p>
        </w:tc>
        <w:tc>
          <w:tcPr>
            <w:tcW w:w="676" w:type="dxa"/>
            <w:tcBorders>
              <w:tl2br w:val="nil"/>
              <w:tr2bl w:val="nil"/>
            </w:tcBorders>
            <w:noWrap/>
            <w:vAlign w:val="center"/>
          </w:tcPr>
          <w:p w14:paraId="4315CB91">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w:t>
            </w:r>
          </w:p>
        </w:tc>
        <w:tc>
          <w:tcPr>
            <w:tcW w:w="692" w:type="dxa"/>
            <w:tcBorders>
              <w:tl2br w:val="nil"/>
              <w:tr2bl w:val="nil"/>
            </w:tcBorders>
            <w:noWrap/>
            <w:vAlign w:val="center"/>
          </w:tcPr>
          <w:p w14:paraId="34ED7C97">
            <w:pPr>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14</w:t>
            </w:r>
          </w:p>
        </w:tc>
        <w:tc>
          <w:tcPr>
            <w:tcW w:w="9294" w:type="dxa"/>
            <w:tcBorders>
              <w:tl2br w:val="nil"/>
              <w:tr2bl w:val="nil"/>
            </w:tcBorders>
            <w:noWrap/>
            <w:vAlign w:val="center"/>
          </w:tcPr>
          <w:p w14:paraId="35A3BF58">
            <w:pPr>
              <w:jc w:val="center"/>
              <w:rPr>
                <w:rFonts w:hint="default" w:ascii="宋体" w:hAnsi="宋体" w:eastAsia="宋体" w:cs="宋体"/>
                <w:b/>
                <w:bCs/>
                <w:color w:val="auto"/>
                <w:sz w:val="21"/>
                <w:szCs w:val="21"/>
                <w:lang w:val="en-US" w:eastAsia="zh-CN"/>
              </w:rPr>
            </w:pPr>
          </w:p>
        </w:tc>
      </w:tr>
      <w:tr w14:paraId="62A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restart"/>
            <w:tcBorders>
              <w:tl2br w:val="nil"/>
              <w:tr2bl w:val="nil"/>
            </w:tcBorders>
            <w:noWrap/>
            <w:vAlign w:val="center"/>
          </w:tcPr>
          <w:p w14:paraId="60D15713">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高塘</w:t>
            </w:r>
            <w:r>
              <w:rPr>
                <w:rFonts w:hint="eastAsia" w:ascii="宋体" w:hAnsi="宋体" w:eastAsia="宋体" w:cs="宋体"/>
                <w:b w:val="0"/>
                <w:bCs w:val="0"/>
                <w:i w:val="0"/>
                <w:iCs w:val="0"/>
                <w:snapToGrid w:val="0"/>
                <w:color w:val="auto"/>
                <w:kern w:val="0"/>
                <w:sz w:val="21"/>
                <w:szCs w:val="21"/>
                <w:u w:val="none"/>
                <w:lang w:val="en-US" w:eastAsia="zh-CN" w:bidi="ar"/>
              </w:rPr>
              <w:br w:type="textWrapping"/>
            </w:r>
            <w:r>
              <w:rPr>
                <w:rFonts w:hint="eastAsia" w:ascii="宋体" w:hAnsi="宋体" w:eastAsia="宋体" w:cs="宋体"/>
                <w:b w:val="0"/>
                <w:bCs w:val="0"/>
                <w:i w:val="0"/>
                <w:iCs w:val="0"/>
                <w:snapToGrid w:val="0"/>
                <w:color w:val="auto"/>
                <w:kern w:val="0"/>
                <w:sz w:val="21"/>
                <w:szCs w:val="21"/>
                <w:u w:val="none"/>
                <w:lang w:val="en-US" w:eastAsia="zh-CN" w:bidi="ar"/>
              </w:rPr>
              <w:t>学校</w:t>
            </w:r>
          </w:p>
        </w:tc>
        <w:tc>
          <w:tcPr>
            <w:tcW w:w="682" w:type="dxa"/>
            <w:tcBorders>
              <w:tl2br w:val="nil"/>
              <w:tr2bl w:val="nil"/>
            </w:tcBorders>
            <w:noWrap/>
            <w:vAlign w:val="center"/>
          </w:tcPr>
          <w:p w14:paraId="3867420E">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一</w:t>
            </w:r>
          </w:p>
        </w:tc>
        <w:tc>
          <w:tcPr>
            <w:tcW w:w="767" w:type="dxa"/>
            <w:tcBorders>
              <w:tl2br w:val="nil"/>
              <w:tr2bl w:val="nil"/>
            </w:tcBorders>
            <w:noWrap/>
            <w:vAlign w:val="center"/>
          </w:tcPr>
          <w:p w14:paraId="70DD5597">
            <w:pPr>
              <w:jc w:val="center"/>
              <w:rPr>
                <w:rFonts w:hint="eastAsia" w:ascii="宋体" w:hAnsi="宋体" w:eastAsia="宋体" w:cs="宋体"/>
                <w:b w:val="0"/>
                <w:bCs w:val="0"/>
                <w:color w:val="auto"/>
                <w:sz w:val="21"/>
                <w:szCs w:val="21"/>
                <w:lang w:bidi="en-US"/>
              </w:rPr>
            </w:pPr>
          </w:p>
        </w:tc>
        <w:tc>
          <w:tcPr>
            <w:tcW w:w="661" w:type="dxa"/>
            <w:tcBorders>
              <w:tl2br w:val="nil"/>
              <w:tr2bl w:val="nil"/>
            </w:tcBorders>
            <w:noWrap/>
            <w:vAlign w:val="center"/>
          </w:tcPr>
          <w:p w14:paraId="707D11AE">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539A7981">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3EDB92F7">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583EB6F8">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43B459B4">
            <w:pPr>
              <w:jc w:val="center"/>
              <w:rPr>
                <w:rFonts w:hint="eastAsia" w:ascii="宋体" w:hAnsi="宋体" w:eastAsia="宋体" w:cs="宋体"/>
                <w:b w:val="0"/>
                <w:bCs w:val="0"/>
                <w:color w:val="auto"/>
                <w:sz w:val="21"/>
                <w:szCs w:val="21"/>
              </w:rPr>
            </w:pPr>
          </w:p>
        </w:tc>
      </w:tr>
      <w:tr w14:paraId="2D47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371077CB">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65079F4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二</w:t>
            </w:r>
          </w:p>
        </w:tc>
        <w:tc>
          <w:tcPr>
            <w:tcW w:w="767" w:type="dxa"/>
            <w:tcBorders>
              <w:tl2br w:val="nil"/>
              <w:tr2bl w:val="nil"/>
            </w:tcBorders>
            <w:noWrap/>
            <w:vAlign w:val="center"/>
          </w:tcPr>
          <w:p w14:paraId="7E2F772E">
            <w:pPr>
              <w:jc w:val="center"/>
              <w:rPr>
                <w:rFonts w:hint="eastAsia" w:ascii="宋体" w:hAnsi="宋体" w:eastAsia="宋体" w:cs="宋体"/>
                <w:b w:val="0"/>
                <w:bCs w:val="0"/>
                <w:color w:val="auto"/>
                <w:sz w:val="21"/>
                <w:szCs w:val="21"/>
                <w:lang w:bidi="en-US"/>
              </w:rPr>
            </w:pPr>
          </w:p>
        </w:tc>
        <w:tc>
          <w:tcPr>
            <w:tcW w:w="661" w:type="dxa"/>
            <w:tcBorders>
              <w:tl2br w:val="nil"/>
              <w:tr2bl w:val="nil"/>
            </w:tcBorders>
            <w:noWrap/>
            <w:vAlign w:val="center"/>
          </w:tcPr>
          <w:p w14:paraId="2856CB68">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65F02529">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6E1456C4">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198AFC3A">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4EE37B20">
            <w:pPr>
              <w:jc w:val="center"/>
              <w:rPr>
                <w:rFonts w:hint="eastAsia" w:ascii="宋体" w:hAnsi="宋体" w:eastAsia="宋体" w:cs="宋体"/>
                <w:b w:val="0"/>
                <w:bCs w:val="0"/>
                <w:color w:val="auto"/>
                <w:sz w:val="21"/>
                <w:szCs w:val="21"/>
              </w:rPr>
            </w:pPr>
          </w:p>
        </w:tc>
      </w:tr>
      <w:tr w14:paraId="288C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0D7B3E1F">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7FD1C3F9">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三</w:t>
            </w:r>
          </w:p>
        </w:tc>
        <w:tc>
          <w:tcPr>
            <w:tcW w:w="767" w:type="dxa"/>
            <w:tcBorders>
              <w:tl2br w:val="nil"/>
              <w:tr2bl w:val="nil"/>
            </w:tcBorders>
            <w:noWrap/>
            <w:vAlign w:val="center"/>
          </w:tcPr>
          <w:p w14:paraId="1C969F70">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p>
        </w:tc>
        <w:tc>
          <w:tcPr>
            <w:tcW w:w="661" w:type="dxa"/>
            <w:tcBorders>
              <w:tl2br w:val="nil"/>
              <w:tr2bl w:val="nil"/>
            </w:tcBorders>
            <w:noWrap/>
            <w:vAlign w:val="center"/>
          </w:tcPr>
          <w:p w14:paraId="344780E5">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46BBDA19">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29FD5E39">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07F6FB55">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706B0D60">
            <w:pPr>
              <w:jc w:val="center"/>
              <w:rPr>
                <w:rFonts w:hint="eastAsia" w:ascii="宋体" w:hAnsi="宋体" w:eastAsia="宋体" w:cs="宋体"/>
                <w:b w:val="0"/>
                <w:bCs w:val="0"/>
                <w:color w:val="auto"/>
                <w:sz w:val="21"/>
                <w:szCs w:val="21"/>
              </w:rPr>
            </w:pPr>
          </w:p>
        </w:tc>
      </w:tr>
      <w:tr w14:paraId="44AC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3E03212C">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23C90818">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四</w:t>
            </w:r>
          </w:p>
        </w:tc>
        <w:tc>
          <w:tcPr>
            <w:tcW w:w="767" w:type="dxa"/>
            <w:tcBorders>
              <w:tl2br w:val="nil"/>
              <w:tr2bl w:val="nil"/>
            </w:tcBorders>
            <w:noWrap/>
            <w:vAlign w:val="center"/>
          </w:tcPr>
          <w:p w14:paraId="622FACDE">
            <w:pPr>
              <w:jc w:val="center"/>
              <w:rPr>
                <w:rFonts w:hint="eastAsia" w:ascii="宋体" w:hAnsi="宋体" w:eastAsia="宋体" w:cs="宋体"/>
                <w:b w:val="0"/>
                <w:bCs w:val="0"/>
                <w:color w:val="auto"/>
                <w:sz w:val="21"/>
                <w:szCs w:val="21"/>
                <w:lang w:val="en-US" w:eastAsia="zh-CN" w:bidi="en-US"/>
              </w:rPr>
            </w:pPr>
            <w:r>
              <w:rPr>
                <w:rFonts w:hint="eastAsia" w:ascii="宋体" w:hAnsi="宋体" w:eastAsia="宋体" w:cs="宋体"/>
                <w:b w:val="0"/>
                <w:bCs w:val="0"/>
                <w:color w:val="auto"/>
                <w:sz w:val="21"/>
                <w:szCs w:val="21"/>
                <w:lang w:val="en-US" w:eastAsia="zh-CN" w:bidi="en-US"/>
              </w:rPr>
              <w:t>5</w:t>
            </w:r>
          </w:p>
        </w:tc>
        <w:tc>
          <w:tcPr>
            <w:tcW w:w="661" w:type="dxa"/>
            <w:tcBorders>
              <w:tl2br w:val="nil"/>
              <w:tr2bl w:val="nil"/>
            </w:tcBorders>
            <w:noWrap/>
            <w:vAlign w:val="center"/>
          </w:tcPr>
          <w:p w14:paraId="7B3C76AA">
            <w:pPr>
              <w:jc w:val="center"/>
              <w:rPr>
                <w:rFonts w:hint="eastAsia" w:ascii="宋体" w:hAnsi="宋体" w:eastAsia="宋体" w:cs="宋体"/>
                <w:b w:val="0"/>
                <w:bCs w:val="0"/>
                <w:color w:val="auto"/>
                <w:sz w:val="21"/>
                <w:szCs w:val="21"/>
                <w:lang w:val="en-US" w:eastAsia="zh-CN" w:bidi="en-US"/>
              </w:rPr>
            </w:pPr>
            <w:r>
              <w:rPr>
                <w:rFonts w:hint="eastAsia" w:ascii="宋体" w:hAnsi="宋体" w:eastAsia="宋体" w:cs="宋体"/>
                <w:b w:val="0"/>
                <w:bCs w:val="0"/>
                <w:color w:val="auto"/>
                <w:sz w:val="21"/>
                <w:szCs w:val="21"/>
                <w:lang w:val="en-US" w:eastAsia="zh-CN" w:bidi="en-US"/>
              </w:rPr>
              <w:t>1</w:t>
            </w:r>
          </w:p>
        </w:tc>
        <w:tc>
          <w:tcPr>
            <w:tcW w:w="692" w:type="dxa"/>
            <w:tcBorders>
              <w:tl2br w:val="nil"/>
              <w:tr2bl w:val="nil"/>
            </w:tcBorders>
            <w:noWrap/>
            <w:vAlign w:val="center"/>
          </w:tcPr>
          <w:p w14:paraId="15F0462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676" w:type="dxa"/>
            <w:tcBorders>
              <w:tl2br w:val="nil"/>
              <w:tr2bl w:val="nil"/>
            </w:tcBorders>
            <w:noWrap/>
            <w:vAlign w:val="center"/>
          </w:tcPr>
          <w:p w14:paraId="6171250F">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49A86817">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68FE25BE">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6D11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1F590937">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0D49D5E5">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五</w:t>
            </w:r>
          </w:p>
        </w:tc>
        <w:tc>
          <w:tcPr>
            <w:tcW w:w="767" w:type="dxa"/>
            <w:tcBorders>
              <w:tl2br w:val="nil"/>
              <w:tr2bl w:val="nil"/>
            </w:tcBorders>
            <w:noWrap/>
            <w:vAlign w:val="center"/>
          </w:tcPr>
          <w:p w14:paraId="701A6D48">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p>
        </w:tc>
        <w:tc>
          <w:tcPr>
            <w:tcW w:w="661" w:type="dxa"/>
            <w:tcBorders>
              <w:tl2br w:val="nil"/>
              <w:tr2bl w:val="nil"/>
            </w:tcBorders>
            <w:noWrap/>
            <w:vAlign w:val="center"/>
          </w:tcPr>
          <w:p w14:paraId="3058859C">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70A88017">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19ABA192">
            <w:pPr>
              <w:jc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53ED325E">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1B1AF45F">
            <w:pPr>
              <w:rPr>
                <w:rFonts w:hint="eastAsia" w:ascii="宋体" w:hAnsi="宋体" w:eastAsia="宋体" w:cs="宋体"/>
                <w:b w:val="0"/>
                <w:bCs w:val="0"/>
                <w:color w:val="auto"/>
                <w:sz w:val="21"/>
                <w:szCs w:val="21"/>
              </w:rPr>
            </w:pPr>
          </w:p>
        </w:tc>
      </w:tr>
      <w:tr w14:paraId="7E95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2E44BB4C">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71E2AFB0">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六</w:t>
            </w:r>
          </w:p>
        </w:tc>
        <w:tc>
          <w:tcPr>
            <w:tcW w:w="767" w:type="dxa"/>
            <w:tcBorders>
              <w:tl2br w:val="nil"/>
              <w:tr2bl w:val="nil"/>
            </w:tcBorders>
            <w:noWrap/>
            <w:vAlign w:val="center"/>
          </w:tcPr>
          <w:p w14:paraId="1820D10F">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6</w:t>
            </w:r>
          </w:p>
        </w:tc>
        <w:tc>
          <w:tcPr>
            <w:tcW w:w="661" w:type="dxa"/>
            <w:tcBorders>
              <w:tl2br w:val="nil"/>
              <w:tr2bl w:val="nil"/>
            </w:tcBorders>
            <w:noWrap/>
            <w:vAlign w:val="center"/>
          </w:tcPr>
          <w:p w14:paraId="5D6ED398">
            <w:pPr>
              <w:jc w:val="center"/>
              <w:rPr>
                <w:rFonts w:hint="eastAsia" w:ascii="宋体" w:hAnsi="宋体" w:eastAsia="宋体" w:cs="宋体"/>
                <w:b w:val="0"/>
                <w:bCs w:val="0"/>
                <w:color w:val="auto"/>
                <w:sz w:val="21"/>
                <w:szCs w:val="21"/>
                <w:lang w:val="en-US" w:eastAsia="zh-CN" w:bidi="en-US"/>
              </w:rPr>
            </w:pPr>
            <w:r>
              <w:rPr>
                <w:rFonts w:hint="eastAsia" w:ascii="宋体" w:hAnsi="宋体" w:eastAsia="宋体" w:cs="宋体"/>
                <w:b w:val="0"/>
                <w:bCs w:val="0"/>
                <w:color w:val="auto"/>
                <w:sz w:val="21"/>
                <w:szCs w:val="21"/>
                <w:lang w:val="en-US" w:eastAsia="zh-CN" w:bidi="en-US"/>
              </w:rPr>
              <w:t>3</w:t>
            </w:r>
          </w:p>
        </w:tc>
        <w:tc>
          <w:tcPr>
            <w:tcW w:w="692" w:type="dxa"/>
            <w:tcBorders>
              <w:tl2br w:val="nil"/>
              <w:tr2bl w:val="nil"/>
            </w:tcBorders>
            <w:noWrap/>
            <w:vAlign w:val="center"/>
          </w:tcPr>
          <w:p w14:paraId="23FAE9A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676" w:type="dxa"/>
            <w:tcBorders>
              <w:tl2br w:val="nil"/>
              <w:tr2bl w:val="nil"/>
            </w:tcBorders>
            <w:noWrap/>
            <w:vAlign w:val="center"/>
          </w:tcPr>
          <w:p w14:paraId="0AFFD5CD">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692" w:type="dxa"/>
            <w:tcBorders>
              <w:tl2br w:val="nil"/>
              <w:tr2bl w:val="nil"/>
            </w:tcBorders>
            <w:noWrap/>
            <w:vAlign w:val="center"/>
          </w:tcPr>
          <w:p w14:paraId="1A6AF3D4">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2AF945C0">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4643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3851FE2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7798F70F">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七</w:t>
            </w:r>
          </w:p>
        </w:tc>
        <w:tc>
          <w:tcPr>
            <w:tcW w:w="767" w:type="dxa"/>
            <w:tcBorders>
              <w:tl2br w:val="nil"/>
              <w:tr2bl w:val="nil"/>
            </w:tcBorders>
            <w:noWrap/>
            <w:vAlign w:val="center"/>
          </w:tcPr>
          <w:p w14:paraId="491ACED6">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7</w:t>
            </w:r>
          </w:p>
        </w:tc>
        <w:tc>
          <w:tcPr>
            <w:tcW w:w="661" w:type="dxa"/>
            <w:tcBorders>
              <w:tl2br w:val="nil"/>
              <w:tr2bl w:val="nil"/>
            </w:tcBorders>
            <w:noWrap/>
            <w:vAlign w:val="center"/>
          </w:tcPr>
          <w:p w14:paraId="21A439BD">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44C5EC4B">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5866CA2E">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7</w:t>
            </w:r>
          </w:p>
        </w:tc>
        <w:tc>
          <w:tcPr>
            <w:tcW w:w="692" w:type="dxa"/>
            <w:tcBorders>
              <w:tl2br w:val="nil"/>
              <w:tr2bl w:val="nil"/>
            </w:tcBorders>
            <w:noWrap/>
            <w:vAlign w:val="center"/>
          </w:tcPr>
          <w:p w14:paraId="744BB053">
            <w:pPr>
              <w:jc w:val="center"/>
              <w:rPr>
                <w:rFonts w:hint="eastAsia" w:ascii="宋体" w:hAnsi="宋体" w:eastAsia="宋体" w:cs="宋体"/>
                <w:b w:val="0"/>
                <w:bCs w:val="0"/>
                <w:color w:val="auto"/>
                <w:sz w:val="21"/>
                <w:szCs w:val="21"/>
              </w:rPr>
            </w:pPr>
          </w:p>
        </w:tc>
        <w:tc>
          <w:tcPr>
            <w:tcW w:w="9294" w:type="dxa"/>
            <w:tcBorders>
              <w:tl2br w:val="nil"/>
              <w:tr2bl w:val="nil"/>
            </w:tcBorders>
            <w:noWrap/>
            <w:vAlign w:val="center"/>
          </w:tcPr>
          <w:p w14:paraId="7ADC9BA7">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22E3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15951947">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53A325F9">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八</w:t>
            </w:r>
          </w:p>
        </w:tc>
        <w:tc>
          <w:tcPr>
            <w:tcW w:w="767" w:type="dxa"/>
            <w:tcBorders>
              <w:tl2br w:val="nil"/>
              <w:tr2bl w:val="nil"/>
            </w:tcBorders>
            <w:noWrap/>
            <w:vAlign w:val="center"/>
          </w:tcPr>
          <w:p w14:paraId="153F865D">
            <w:pPr>
              <w:keepNext w:val="0"/>
              <w:keepLines w:val="0"/>
              <w:widowControl/>
              <w:suppressLineNumbers w:val="0"/>
              <w:jc w:val="center"/>
              <w:textAlignment w:val="center"/>
              <w:rPr>
                <w:rFonts w:hint="eastAsia" w:ascii="宋体" w:hAnsi="宋体" w:eastAsia="宋体" w:cs="宋体"/>
                <w:b w:val="0"/>
                <w:bCs w:val="0"/>
                <w:color w:val="auto"/>
                <w:sz w:val="21"/>
                <w:szCs w:val="21"/>
                <w:lang w:bidi="en-US"/>
              </w:rPr>
            </w:pPr>
            <w:r>
              <w:rPr>
                <w:rFonts w:hint="eastAsia" w:ascii="宋体" w:hAnsi="宋体" w:eastAsia="宋体" w:cs="宋体"/>
                <w:b w:val="0"/>
                <w:bCs w:val="0"/>
                <w:i w:val="0"/>
                <w:iCs w:val="0"/>
                <w:snapToGrid w:val="0"/>
                <w:color w:val="auto"/>
                <w:kern w:val="0"/>
                <w:sz w:val="21"/>
                <w:szCs w:val="21"/>
                <w:u w:val="none"/>
                <w:lang w:val="en-US" w:eastAsia="zh-CN" w:bidi="ar"/>
              </w:rPr>
              <w:t>4</w:t>
            </w:r>
          </w:p>
        </w:tc>
        <w:tc>
          <w:tcPr>
            <w:tcW w:w="661" w:type="dxa"/>
            <w:tcBorders>
              <w:tl2br w:val="nil"/>
              <w:tr2bl w:val="nil"/>
            </w:tcBorders>
            <w:noWrap/>
            <w:vAlign w:val="center"/>
          </w:tcPr>
          <w:p w14:paraId="03D3D4B3">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3D3C3727">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1A480A7C">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2</w:t>
            </w:r>
          </w:p>
        </w:tc>
        <w:tc>
          <w:tcPr>
            <w:tcW w:w="692" w:type="dxa"/>
            <w:tcBorders>
              <w:tl2br w:val="nil"/>
              <w:tr2bl w:val="nil"/>
            </w:tcBorders>
            <w:noWrap/>
            <w:vAlign w:val="center"/>
          </w:tcPr>
          <w:p w14:paraId="1DB13461">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snapToGrid w:val="0"/>
                <w:color w:val="auto"/>
                <w:kern w:val="0"/>
                <w:sz w:val="21"/>
                <w:szCs w:val="21"/>
                <w:u w:val="none"/>
                <w:lang w:val="en-US" w:eastAsia="zh-CN" w:bidi="ar"/>
              </w:rPr>
              <w:t>2</w:t>
            </w:r>
          </w:p>
        </w:tc>
        <w:tc>
          <w:tcPr>
            <w:tcW w:w="9294" w:type="dxa"/>
            <w:tcBorders>
              <w:tl2br w:val="nil"/>
              <w:tr2bl w:val="nil"/>
            </w:tcBorders>
            <w:noWrap/>
            <w:vAlign w:val="center"/>
          </w:tcPr>
          <w:p w14:paraId="33F8680B">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5833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blHeader/>
        </w:trPr>
        <w:tc>
          <w:tcPr>
            <w:tcW w:w="831" w:type="dxa"/>
            <w:vMerge w:val="continue"/>
            <w:tcBorders>
              <w:tl2br w:val="nil"/>
              <w:tr2bl w:val="nil"/>
            </w:tcBorders>
            <w:noWrap/>
            <w:vAlign w:val="center"/>
          </w:tcPr>
          <w:p w14:paraId="39849CA0">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7CD37ED4">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九</w:t>
            </w:r>
          </w:p>
        </w:tc>
        <w:tc>
          <w:tcPr>
            <w:tcW w:w="767" w:type="dxa"/>
            <w:tcBorders>
              <w:tl2br w:val="nil"/>
              <w:tr2bl w:val="nil"/>
            </w:tcBorders>
            <w:noWrap/>
            <w:vAlign w:val="center"/>
          </w:tcPr>
          <w:p w14:paraId="217F9313">
            <w:pPr>
              <w:keepNext w:val="0"/>
              <w:keepLines w:val="0"/>
              <w:widowControl/>
              <w:suppressLineNumbers w:val="0"/>
              <w:jc w:val="center"/>
              <w:textAlignment w:val="center"/>
              <w:rPr>
                <w:rFonts w:hint="default" w:ascii="宋体" w:hAnsi="宋体" w:eastAsia="宋体" w:cs="宋体"/>
                <w:b w:val="0"/>
                <w:bCs w:val="0"/>
                <w:color w:val="auto"/>
                <w:sz w:val="21"/>
                <w:szCs w:val="21"/>
                <w:lang w:val="en-US" w:bidi="en-US"/>
              </w:rPr>
            </w:pPr>
            <w:r>
              <w:rPr>
                <w:rFonts w:hint="eastAsia" w:ascii="宋体" w:hAnsi="宋体" w:eastAsia="宋体" w:cs="宋体"/>
                <w:b w:val="0"/>
                <w:bCs w:val="0"/>
                <w:i w:val="0"/>
                <w:iCs w:val="0"/>
                <w:snapToGrid w:val="0"/>
                <w:color w:val="auto"/>
                <w:kern w:val="0"/>
                <w:sz w:val="21"/>
                <w:szCs w:val="21"/>
                <w:u w:val="none"/>
                <w:lang w:val="en-US" w:eastAsia="zh-CN" w:bidi="ar"/>
              </w:rPr>
              <w:t>18</w:t>
            </w:r>
          </w:p>
        </w:tc>
        <w:tc>
          <w:tcPr>
            <w:tcW w:w="661" w:type="dxa"/>
            <w:tcBorders>
              <w:tl2br w:val="nil"/>
              <w:tr2bl w:val="nil"/>
            </w:tcBorders>
            <w:noWrap/>
            <w:vAlign w:val="center"/>
          </w:tcPr>
          <w:p w14:paraId="526FBF08">
            <w:pPr>
              <w:jc w:val="center"/>
              <w:rPr>
                <w:rFonts w:hint="eastAsia" w:ascii="宋体" w:hAnsi="宋体" w:eastAsia="宋体" w:cs="宋体"/>
                <w:b w:val="0"/>
                <w:bCs w:val="0"/>
                <w:color w:val="auto"/>
                <w:sz w:val="21"/>
                <w:szCs w:val="21"/>
                <w:lang w:bidi="en-US"/>
              </w:rPr>
            </w:pPr>
          </w:p>
        </w:tc>
        <w:tc>
          <w:tcPr>
            <w:tcW w:w="692" w:type="dxa"/>
            <w:tcBorders>
              <w:tl2br w:val="nil"/>
              <w:tr2bl w:val="nil"/>
            </w:tcBorders>
            <w:noWrap/>
            <w:vAlign w:val="center"/>
          </w:tcPr>
          <w:p w14:paraId="19CF696B">
            <w:pPr>
              <w:jc w:val="center"/>
              <w:rPr>
                <w:rFonts w:hint="eastAsia" w:ascii="宋体" w:hAnsi="宋体" w:eastAsia="宋体" w:cs="宋体"/>
                <w:b w:val="0"/>
                <w:bCs w:val="0"/>
                <w:color w:val="auto"/>
                <w:sz w:val="21"/>
                <w:szCs w:val="21"/>
              </w:rPr>
            </w:pPr>
          </w:p>
        </w:tc>
        <w:tc>
          <w:tcPr>
            <w:tcW w:w="676" w:type="dxa"/>
            <w:tcBorders>
              <w:tl2br w:val="nil"/>
              <w:tr2bl w:val="nil"/>
            </w:tcBorders>
            <w:noWrap/>
            <w:vAlign w:val="center"/>
          </w:tcPr>
          <w:p w14:paraId="2504926C">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p>
        </w:tc>
        <w:tc>
          <w:tcPr>
            <w:tcW w:w="692" w:type="dxa"/>
            <w:tcBorders>
              <w:tl2br w:val="nil"/>
              <w:tr2bl w:val="nil"/>
            </w:tcBorders>
            <w:noWrap/>
            <w:vAlign w:val="center"/>
          </w:tcPr>
          <w:p w14:paraId="6CB54B7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9294" w:type="dxa"/>
            <w:tcBorders>
              <w:tl2br w:val="nil"/>
              <w:tr2bl w:val="nil"/>
            </w:tcBorders>
            <w:noWrap/>
            <w:vAlign w:val="center"/>
          </w:tcPr>
          <w:p w14:paraId="494CCEBC">
            <w:pPr>
              <w:keepNext w:val="0"/>
              <w:keepLines w:val="0"/>
              <w:widowControl/>
              <w:suppressLineNumbers w:val="0"/>
              <w:jc w:val="left"/>
              <w:textAlignment w:val="center"/>
              <w:rPr>
                <w:rFonts w:hint="eastAsia" w:ascii="宋体" w:hAnsi="宋体" w:eastAsia="宋体" w:cs="宋体"/>
                <w:b w:val="0"/>
                <w:bCs w:val="0"/>
                <w:color w:val="auto"/>
                <w:sz w:val="21"/>
                <w:szCs w:val="21"/>
              </w:rPr>
            </w:pPr>
          </w:p>
        </w:tc>
      </w:tr>
      <w:tr w14:paraId="16BD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trPr>
        <w:tc>
          <w:tcPr>
            <w:tcW w:w="831" w:type="dxa"/>
            <w:vMerge w:val="continue"/>
            <w:tcBorders>
              <w:tl2br w:val="nil"/>
              <w:tr2bl w:val="nil"/>
            </w:tcBorders>
            <w:noWrap/>
            <w:vAlign w:val="center"/>
          </w:tcPr>
          <w:p w14:paraId="60AA8637">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682" w:type="dxa"/>
            <w:tcBorders>
              <w:tl2br w:val="nil"/>
              <w:tr2bl w:val="nil"/>
            </w:tcBorders>
            <w:noWrap/>
            <w:vAlign w:val="center"/>
          </w:tcPr>
          <w:p w14:paraId="6DF81BBA">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小计</w:t>
            </w:r>
          </w:p>
        </w:tc>
        <w:tc>
          <w:tcPr>
            <w:tcW w:w="767" w:type="dxa"/>
            <w:tcBorders>
              <w:tl2br w:val="nil"/>
              <w:tr2bl w:val="nil"/>
            </w:tcBorders>
            <w:noWrap/>
            <w:vAlign w:val="center"/>
          </w:tcPr>
          <w:p w14:paraId="3C28AE6C">
            <w:pPr>
              <w:keepNext w:val="0"/>
              <w:keepLines w:val="0"/>
              <w:widowControl/>
              <w:suppressLineNumbers w:val="0"/>
              <w:jc w:val="center"/>
              <w:textAlignment w:val="center"/>
              <w:rPr>
                <w:rFonts w:hint="eastAsia" w:ascii="宋体" w:hAnsi="宋体" w:eastAsia="宋体" w:cs="宋体"/>
                <w:b/>
                <w:bCs/>
                <w:color w:val="auto"/>
                <w:sz w:val="21"/>
                <w:szCs w:val="21"/>
                <w:lang w:bidi="en-US"/>
              </w:rPr>
            </w:pPr>
            <w:r>
              <w:rPr>
                <w:rFonts w:hint="eastAsia" w:ascii="宋体" w:hAnsi="宋体" w:eastAsia="宋体" w:cs="宋体"/>
                <w:b/>
                <w:bCs/>
                <w:i w:val="0"/>
                <w:iCs w:val="0"/>
                <w:snapToGrid w:val="0"/>
                <w:color w:val="auto"/>
                <w:kern w:val="0"/>
                <w:sz w:val="21"/>
                <w:szCs w:val="21"/>
                <w:u w:val="none"/>
                <w:lang w:val="en-US" w:eastAsia="zh-CN" w:bidi="ar"/>
              </w:rPr>
              <w:t>40</w:t>
            </w:r>
          </w:p>
        </w:tc>
        <w:tc>
          <w:tcPr>
            <w:tcW w:w="661" w:type="dxa"/>
            <w:tcBorders>
              <w:tl2br w:val="nil"/>
              <w:tr2bl w:val="nil"/>
            </w:tcBorders>
            <w:noWrap/>
            <w:vAlign w:val="center"/>
          </w:tcPr>
          <w:p w14:paraId="514CA2B0">
            <w:pPr>
              <w:jc w:val="center"/>
              <w:rPr>
                <w:rFonts w:hint="eastAsia" w:ascii="宋体" w:hAnsi="宋体" w:eastAsia="宋体" w:cs="宋体"/>
                <w:b/>
                <w:bCs/>
                <w:color w:val="auto"/>
                <w:sz w:val="21"/>
                <w:szCs w:val="21"/>
                <w:lang w:val="en-US" w:eastAsia="zh-CN" w:bidi="en-US"/>
              </w:rPr>
            </w:pPr>
            <w:r>
              <w:rPr>
                <w:rFonts w:hint="eastAsia" w:ascii="宋体" w:hAnsi="宋体" w:eastAsia="宋体" w:cs="宋体"/>
                <w:b/>
                <w:bCs/>
                <w:color w:val="auto"/>
                <w:sz w:val="21"/>
                <w:szCs w:val="21"/>
                <w:lang w:val="en-US" w:eastAsia="zh-CN" w:bidi="en-US"/>
              </w:rPr>
              <w:t>4</w:t>
            </w:r>
          </w:p>
        </w:tc>
        <w:tc>
          <w:tcPr>
            <w:tcW w:w="692" w:type="dxa"/>
            <w:tcBorders>
              <w:tl2br w:val="nil"/>
              <w:tr2bl w:val="nil"/>
            </w:tcBorders>
            <w:noWrap/>
            <w:vAlign w:val="center"/>
          </w:tcPr>
          <w:p w14:paraId="2DF13E0B">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w:t>
            </w:r>
          </w:p>
        </w:tc>
        <w:tc>
          <w:tcPr>
            <w:tcW w:w="676" w:type="dxa"/>
            <w:tcBorders>
              <w:tl2br w:val="nil"/>
              <w:tr2bl w:val="nil"/>
            </w:tcBorders>
            <w:noWrap/>
            <w:vAlign w:val="center"/>
          </w:tcPr>
          <w:p w14:paraId="6734A690">
            <w:pPr>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24</w:t>
            </w:r>
          </w:p>
        </w:tc>
        <w:tc>
          <w:tcPr>
            <w:tcW w:w="692" w:type="dxa"/>
            <w:tcBorders>
              <w:tl2br w:val="nil"/>
              <w:tr2bl w:val="nil"/>
            </w:tcBorders>
            <w:noWrap/>
            <w:vAlign w:val="center"/>
          </w:tcPr>
          <w:p w14:paraId="4C7DF578">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p>
        </w:tc>
        <w:tc>
          <w:tcPr>
            <w:tcW w:w="9294" w:type="dxa"/>
            <w:tcBorders>
              <w:tl2br w:val="nil"/>
              <w:tr2bl w:val="nil"/>
            </w:tcBorders>
            <w:noWrap/>
            <w:vAlign w:val="center"/>
          </w:tcPr>
          <w:p w14:paraId="5467FFC2">
            <w:pPr>
              <w:jc w:val="center"/>
              <w:rPr>
                <w:rFonts w:hint="default" w:ascii="宋体" w:hAnsi="宋体" w:eastAsia="宋体" w:cs="宋体"/>
                <w:b/>
                <w:bCs/>
                <w:color w:val="FF0000"/>
                <w:sz w:val="21"/>
                <w:szCs w:val="21"/>
                <w:lang w:val="en-US" w:eastAsia="zh-CN"/>
              </w:rPr>
            </w:pPr>
          </w:p>
        </w:tc>
      </w:tr>
      <w:tr w14:paraId="3BCE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1513" w:type="dxa"/>
            <w:gridSpan w:val="2"/>
            <w:tcBorders>
              <w:tl2br w:val="nil"/>
              <w:tr2bl w:val="nil"/>
            </w:tcBorders>
            <w:noWrap/>
            <w:vAlign w:val="center"/>
          </w:tcPr>
          <w:p w14:paraId="0F80834D">
            <w:pPr>
              <w:keepNext w:val="0"/>
              <w:keepLines w:val="0"/>
              <w:widowControl/>
              <w:suppressLineNumbers w:val="0"/>
              <w:jc w:val="center"/>
              <w:textAlignment w:val="center"/>
              <w:rPr>
                <w:rFonts w:hint="eastAsia" w:ascii="黑体" w:hAnsi="黑体" w:eastAsia="黑体" w:cs="黑体"/>
                <w:b/>
                <w:bCs/>
                <w:i w:val="0"/>
                <w:iCs w:val="0"/>
                <w:snapToGrid w:val="0"/>
                <w:color w:val="auto"/>
                <w:kern w:val="0"/>
                <w:sz w:val="21"/>
                <w:szCs w:val="21"/>
                <w:u w:val="none"/>
                <w:lang w:val="en-US" w:eastAsia="zh-CN" w:bidi="ar"/>
              </w:rPr>
            </w:pPr>
            <w:r>
              <w:rPr>
                <w:rFonts w:hint="eastAsia" w:ascii="黑体" w:hAnsi="黑体" w:eastAsia="黑体" w:cs="黑体"/>
                <w:b/>
                <w:bCs/>
                <w:i w:val="0"/>
                <w:iCs w:val="0"/>
                <w:snapToGrid w:val="0"/>
                <w:color w:val="auto"/>
                <w:kern w:val="0"/>
                <w:sz w:val="21"/>
                <w:szCs w:val="21"/>
                <w:u w:val="none"/>
                <w:lang w:val="en-US" w:eastAsia="zh-CN" w:bidi="ar"/>
              </w:rPr>
              <w:t>合计</w:t>
            </w:r>
          </w:p>
        </w:tc>
        <w:tc>
          <w:tcPr>
            <w:tcW w:w="767" w:type="dxa"/>
            <w:tcBorders>
              <w:tl2br w:val="nil"/>
              <w:tr2bl w:val="nil"/>
            </w:tcBorders>
            <w:noWrap/>
            <w:vAlign w:val="center"/>
          </w:tcPr>
          <w:p w14:paraId="4A6E5622">
            <w:pPr>
              <w:keepNext w:val="0"/>
              <w:keepLines w:val="0"/>
              <w:widowControl/>
              <w:suppressLineNumbers w:val="0"/>
              <w:jc w:val="center"/>
              <w:textAlignment w:val="center"/>
              <w:rPr>
                <w:rFonts w:hint="eastAsia" w:ascii="黑体" w:hAnsi="黑体" w:eastAsia="黑体" w:cs="黑体"/>
                <w:b/>
                <w:bCs/>
                <w:color w:val="auto"/>
                <w:sz w:val="21"/>
                <w:szCs w:val="21"/>
                <w:lang w:bidi="en-US"/>
              </w:rPr>
            </w:pPr>
            <w:r>
              <w:rPr>
                <w:rFonts w:hint="eastAsia" w:ascii="黑体" w:hAnsi="黑体" w:eastAsia="黑体" w:cs="黑体"/>
                <w:b/>
                <w:bCs/>
                <w:i w:val="0"/>
                <w:iCs w:val="0"/>
                <w:snapToGrid w:val="0"/>
                <w:color w:val="auto"/>
                <w:kern w:val="0"/>
                <w:sz w:val="21"/>
                <w:szCs w:val="21"/>
                <w:u w:val="none"/>
                <w:lang w:val="en-US" w:eastAsia="zh-CN" w:bidi="ar"/>
              </w:rPr>
              <w:t>82</w:t>
            </w:r>
          </w:p>
        </w:tc>
        <w:tc>
          <w:tcPr>
            <w:tcW w:w="661" w:type="dxa"/>
            <w:tcBorders>
              <w:tl2br w:val="nil"/>
              <w:tr2bl w:val="nil"/>
            </w:tcBorders>
            <w:noWrap/>
            <w:vAlign w:val="center"/>
          </w:tcPr>
          <w:p w14:paraId="716DF1BD">
            <w:pPr>
              <w:keepNext w:val="0"/>
              <w:keepLines w:val="0"/>
              <w:widowControl/>
              <w:suppressLineNumbers w:val="0"/>
              <w:jc w:val="center"/>
              <w:textAlignment w:val="center"/>
              <w:rPr>
                <w:rFonts w:hint="eastAsia" w:ascii="黑体" w:hAnsi="黑体" w:eastAsia="黑体" w:cs="黑体"/>
                <w:b/>
                <w:bCs/>
                <w:color w:val="auto"/>
                <w:sz w:val="21"/>
                <w:szCs w:val="21"/>
                <w:lang w:bidi="en-US"/>
              </w:rPr>
            </w:pPr>
            <w:r>
              <w:rPr>
                <w:rFonts w:hint="eastAsia" w:ascii="黑体" w:hAnsi="黑体" w:eastAsia="黑体" w:cs="黑体"/>
                <w:b/>
                <w:bCs/>
                <w:i w:val="0"/>
                <w:iCs w:val="0"/>
                <w:snapToGrid w:val="0"/>
                <w:color w:val="auto"/>
                <w:kern w:val="0"/>
                <w:sz w:val="21"/>
                <w:szCs w:val="21"/>
                <w:u w:val="none"/>
                <w:lang w:val="en-US" w:eastAsia="zh-CN" w:bidi="ar"/>
              </w:rPr>
              <w:t>7</w:t>
            </w:r>
          </w:p>
        </w:tc>
        <w:tc>
          <w:tcPr>
            <w:tcW w:w="692" w:type="dxa"/>
            <w:tcBorders>
              <w:tl2br w:val="nil"/>
              <w:tr2bl w:val="nil"/>
            </w:tcBorders>
            <w:noWrap/>
            <w:vAlign w:val="center"/>
          </w:tcPr>
          <w:p w14:paraId="73FA9FD7">
            <w:pPr>
              <w:keepNext w:val="0"/>
              <w:keepLines w:val="0"/>
              <w:widowControl/>
              <w:suppressLineNumbers w:val="0"/>
              <w:jc w:val="center"/>
              <w:textAlignment w:val="center"/>
              <w:rPr>
                <w:rFonts w:hint="default" w:ascii="黑体" w:hAnsi="黑体" w:eastAsia="黑体" w:cs="黑体"/>
                <w:b/>
                <w:bCs/>
                <w:color w:val="auto"/>
                <w:sz w:val="21"/>
                <w:szCs w:val="21"/>
                <w:lang w:val="en-US"/>
              </w:rPr>
            </w:pPr>
            <w:r>
              <w:rPr>
                <w:rFonts w:hint="eastAsia" w:ascii="黑体" w:hAnsi="黑体" w:eastAsia="黑体" w:cs="黑体"/>
                <w:b/>
                <w:bCs/>
                <w:i w:val="0"/>
                <w:iCs w:val="0"/>
                <w:snapToGrid w:val="0"/>
                <w:color w:val="auto"/>
                <w:kern w:val="0"/>
                <w:sz w:val="21"/>
                <w:szCs w:val="21"/>
                <w:u w:val="none"/>
                <w:lang w:val="en-US" w:eastAsia="zh-CN" w:bidi="ar"/>
              </w:rPr>
              <w:t>24</w:t>
            </w:r>
          </w:p>
        </w:tc>
        <w:tc>
          <w:tcPr>
            <w:tcW w:w="676" w:type="dxa"/>
            <w:tcBorders>
              <w:tl2br w:val="nil"/>
              <w:tr2bl w:val="nil"/>
            </w:tcBorders>
            <w:noWrap/>
            <w:vAlign w:val="center"/>
          </w:tcPr>
          <w:p w14:paraId="746BFA79">
            <w:pPr>
              <w:keepNext w:val="0"/>
              <w:keepLines w:val="0"/>
              <w:widowControl/>
              <w:suppressLineNumbers w:val="0"/>
              <w:jc w:val="center"/>
              <w:textAlignment w:val="center"/>
              <w:rPr>
                <w:rFonts w:hint="default" w:ascii="黑体" w:hAnsi="黑体" w:eastAsia="黑体" w:cs="黑体"/>
                <w:b/>
                <w:bCs/>
                <w:color w:val="auto"/>
                <w:sz w:val="21"/>
                <w:szCs w:val="21"/>
                <w:lang w:val="en-US"/>
              </w:rPr>
            </w:pPr>
            <w:r>
              <w:rPr>
                <w:rFonts w:hint="eastAsia" w:ascii="黑体" w:hAnsi="黑体" w:eastAsia="黑体" w:cs="黑体"/>
                <w:b/>
                <w:bCs/>
                <w:i w:val="0"/>
                <w:iCs w:val="0"/>
                <w:snapToGrid w:val="0"/>
                <w:color w:val="auto"/>
                <w:kern w:val="0"/>
                <w:sz w:val="21"/>
                <w:szCs w:val="21"/>
                <w:u w:val="none"/>
                <w:lang w:val="en-US" w:eastAsia="zh-CN" w:bidi="ar"/>
              </w:rPr>
              <w:t>32</w:t>
            </w:r>
          </w:p>
        </w:tc>
        <w:tc>
          <w:tcPr>
            <w:tcW w:w="692" w:type="dxa"/>
            <w:tcBorders>
              <w:tl2br w:val="nil"/>
              <w:tr2bl w:val="nil"/>
            </w:tcBorders>
            <w:noWrap/>
            <w:vAlign w:val="center"/>
          </w:tcPr>
          <w:p w14:paraId="3538515E">
            <w:pPr>
              <w:keepNext w:val="0"/>
              <w:keepLines w:val="0"/>
              <w:widowControl/>
              <w:suppressLineNumbers w:val="0"/>
              <w:jc w:val="center"/>
              <w:textAlignment w:val="center"/>
              <w:rPr>
                <w:rFonts w:hint="default" w:ascii="黑体" w:hAnsi="黑体" w:eastAsia="黑体" w:cs="黑体"/>
                <w:b/>
                <w:bCs/>
                <w:color w:val="auto"/>
                <w:sz w:val="21"/>
                <w:szCs w:val="21"/>
                <w:lang w:val="en-US"/>
              </w:rPr>
            </w:pPr>
            <w:r>
              <w:rPr>
                <w:rFonts w:hint="eastAsia" w:ascii="黑体" w:hAnsi="黑体" w:eastAsia="黑体" w:cs="黑体"/>
                <w:b/>
                <w:bCs/>
                <w:i w:val="0"/>
                <w:iCs w:val="0"/>
                <w:snapToGrid w:val="0"/>
                <w:color w:val="auto"/>
                <w:kern w:val="0"/>
                <w:sz w:val="21"/>
                <w:szCs w:val="21"/>
                <w:u w:val="none"/>
                <w:lang w:val="en-US" w:eastAsia="zh-CN" w:bidi="ar"/>
              </w:rPr>
              <w:t>19</w:t>
            </w:r>
          </w:p>
        </w:tc>
        <w:tc>
          <w:tcPr>
            <w:tcW w:w="9294" w:type="dxa"/>
            <w:tcBorders>
              <w:tl2br w:val="nil"/>
              <w:tr2bl w:val="nil"/>
            </w:tcBorders>
            <w:noWrap/>
            <w:vAlign w:val="center"/>
          </w:tcPr>
          <w:p w14:paraId="5351BFD7">
            <w:pPr>
              <w:keepNext w:val="0"/>
              <w:keepLines w:val="0"/>
              <w:widowControl/>
              <w:suppressLineNumbers w:val="0"/>
              <w:jc w:val="center"/>
              <w:textAlignment w:val="center"/>
              <w:rPr>
                <w:rFonts w:hint="default" w:ascii="黑体" w:hAnsi="黑体" w:eastAsia="黑体" w:cs="黑体"/>
                <w:b/>
                <w:bCs/>
                <w:color w:val="FF0000"/>
                <w:sz w:val="21"/>
                <w:szCs w:val="21"/>
                <w:lang w:val="en-US" w:eastAsia="zh-CN"/>
              </w:rPr>
            </w:pPr>
          </w:p>
        </w:tc>
      </w:tr>
    </w:tbl>
    <w:p w14:paraId="7ABF73A7">
      <w:pPr>
        <w:rPr>
          <w:rFonts w:hint="default" w:eastAsia="宋体"/>
          <w:sz w:val="10"/>
          <w:szCs w:val="10"/>
          <w:lang w:val="en-US" w:eastAsia="zh-CN"/>
        </w:rPr>
        <w:sectPr>
          <w:pgSz w:w="16839" w:h="11906" w:orient="landscape"/>
          <w:pgMar w:top="1134" w:right="1134" w:bottom="850" w:left="1134" w:header="0" w:footer="981" w:gutter="0"/>
          <w:pgNumType w:fmt="numberInDash"/>
          <w:cols w:space="0" w:num="1"/>
          <w:rtlGutter w:val="0"/>
          <w:docGrid w:linePitch="0" w:charSpace="0"/>
        </w:sectPr>
      </w:pPr>
    </w:p>
    <w:p w14:paraId="1F32CAAC">
      <w:pPr>
        <w:spacing w:line="600" w:lineRule="exact"/>
        <w:ind w:left="23"/>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附件3</w:t>
      </w:r>
      <w:r>
        <w:rPr>
          <w:rFonts w:hint="eastAsia" w:ascii="黑体" w:hAnsi="黑体" w:eastAsia="黑体" w:cs="黑体"/>
          <w:color w:val="auto"/>
          <w:sz w:val="32"/>
          <w:szCs w:val="32"/>
          <w:lang w:eastAsia="zh-CN"/>
        </w:rPr>
        <w:t>：</w:t>
      </w:r>
    </w:p>
    <w:p w14:paraId="01B15F4B">
      <w:pPr>
        <w:spacing w:line="600" w:lineRule="exact"/>
        <w:ind w:firstLine="1056" w:firstLineChars="300"/>
        <w:jc w:val="both"/>
        <w:rPr>
          <w:rFonts w:hint="eastAsia" w:ascii="方正小标宋简体" w:hAnsi="方正小标宋简体" w:eastAsia="方正小标宋简体" w:cs="方正小标宋简体"/>
          <w:color w:val="auto"/>
          <w:w w:val="80"/>
          <w:sz w:val="44"/>
          <w:szCs w:val="44"/>
          <w:lang w:val="en-US" w:eastAsia="zh-CN"/>
        </w:rPr>
      </w:pPr>
    </w:p>
    <w:p w14:paraId="4955FD16">
      <w:pPr>
        <w:spacing w:line="600" w:lineRule="exact"/>
        <w:ind w:firstLine="1056" w:firstLineChars="300"/>
        <w:jc w:val="both"/>
        <w:rPr>
          <w:rFonts w:ascii="方正小标宋简体" w:hAnsi="方正小标宋简体" w:eastAsia="方正小标宋简体" w:cs="方正小标宋简体"/>
          <w:snapToGrid/>
          <w:color w:val="auto"/>
          <w:w w:val="66"/>
          <w:sz w:val="44"/>
          <w:szCs w:val="44"/>
          <w:lang w:eastAsia="zh-CN"/>
        </w:rPr>
      </w:pPr>
      <w:r>
        <w:rPr>
          <w:rFonts w:hint="eastAsia" w:ascii="方正小标宋简体" w:hAnsi="方正小标宋简体" w:eastAsia="方正小标宋简体" w:cs="方正小标宋简体"/>
          <w:color w:val="auto"/>
          <w:w w:val="80"/>
          <w:sz w:val="44"/>
          <w:szCs w:val="44"/>
          <w:lang w:val="en-US" w:eastAsia="zh-CN"/>
        </w:rPr>
        <w:t>德安县聂桥学校、高塘学校撤并</w:t>
      </w:r>
      <w:r>
        <w:rPr>
          <w:rFonts w:ascii="方正小标宋简体" w:hAnsi="方正小标宋简体" w:eastAsia="方正小标宋简体" w:cs="方正小标宋简体"/>
          <w:snapToGrid/>
          <w:color w:val="auto"/>
          <w:w w:val="80"/>
          <w:sz w:val="44"/>
          <w:szCs w:val="44"/>
          <w:lang w:eastAsia="zh-CN"/>
        </w:rPr>
        <w:t>教师安置方案</w:t>
      </w:r>
    </w:p>
    <w:p w14:paraId="7EDB3CA8">
      <w:pPr>
        <w:spacing w:line="600" w:lineRule="exact"/>
        <w:ind w:right="50" w:firstLine="674"/>
        <w:jc w:val="both"/>
        <w:rPr>
          <w:rFonts w:ascii="Times New Roman" w:hAnsi="Times New Roman" w:eastAsia="仿宋_GB2312" w:cs="Times New Roman"/>
          <w:color w:val="auto"/>
          <w:sz w:val="32"/>
          <w:szCs w:val="32"/>
        </w:rPr>
      </w:pPr>
      <w:bookmarkStart w:id="0" w:name="OLE_LINK1"/>
    </w:p>
    <w:p w14:paraId="25741FEE">
      <w:pPr>
        <w:spacing w:line="600" w:lineRule="exact"/>
        <w:ind w:left="13" w:right="62" w:firstLine="669"/>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为适应教育改革发展需要，合理调整全县农村中小学布局网点，进一步优化教育资源配置，满足人民群众对优质教育资源的需求，积极稳妥做好2025年撤并学校教师的安置工作，特制定如下安置方案。</w:t>
      </w:r>
    </w:p>
    <w:p w14:paraId="4EE9E077">
      <w:pPr>
        <w:spacing w:line="600" w:lineRule="exact"/>
        <w:ind w:left="683"/>
        <w:jc w:val="both"/>
        <w:rPr>
          <w:rFonts w:ascii="黑体" w:hAnsi="黑体" w:eastAsia="黑体" w:cs="黑体"/>
          <w:color w:val="auto"/>
          <w:sz w:val="32"/>
          <w:szCs w:val="32"/>
        </w:rPr>
      </w:pPr>
      <w:r>
        <w:rPr>
          <w:rFonts w:hint="eastAsia" w:ascii="黑体" w:hAnsi="黑体" w:eastAsia="黑体" w:cs="黑体"/>
          <w:color w:val="auto"/>
          <w:sz w:val="32"/>
          <w:szCs w:val="32"/>
        </w:rPr>
        <w:t>一、安置对象</w:t>
      </w:r>
    </w:p>
    <w:p w14:paraId="508A98E7">
      <w:pPr>
        <w:spacing w:line="600" w:lineRule="exact"/>
        <w:ind w:left="13" w:right="62" w:firstLine="669"/>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聂桥学校、高塘学校</w:t>
      </w:r>
      <w:r>
        <w:rPr>
          <w:rFonts w:ascii="Times New Roman" w:hAnsi="Times New Roman" w:eastAsia="仿宋_GB2312" w:cs="Times New Roman"/>
          <w:color w:val="auto"/>
          <w:sz w:val="32"/>
          <w:szCs w:val="32"/>
        </w:rPr>
        <w:t>所有的在职在岗教师（含</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特岗</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和</w:t>
      </w:r>
    </w:p>
    <w:p w14:paraId="2A3FA087">
      <w:pPr>
        <w:spacing w:line="600" w:lineRule="exact"/>
        <w:ind w:right="62"/>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三支一扶”教师）</w:t>
      </w:r>
      <w:r>
        <w:rPr>
          <w:rFonts w:hint="eastAsia" w:ascii="Times New Roman" w:hAnsi="Times New Roman" w:eastAsia="仿宋_GB2312" w:cs="Times New Roman"/>
          <w:color w:val="auto"/>
          <w:sz w:val="32"/>
          <w:szCs w:val="32"/>
          <w:lang w:val="en-US" w:eastAsia="zh-CN"/>
        </w:rPr>
        <w:t>共80名（聂桥学校43名，高塘学校37名）</w:t>
      </w:r>
      <w:r>
        <w:rPr>
          <w:rFonts w:ascii="Times New Roman" w:hAnsi="Times New Roman" w:eastAsia="仿宋_GB2312" w:cs="Times New Roman"/>
          <w:color w:val="auto"/>
          <w:sz w:val="32"/>
          <w:szCs w:val="32"/>
        </w:rPr>
        <w:t>。</w:t>
      </w:r>
    </w:p>
    <w:p w14:paraId="3FF034CD">
      <w:pPr>
        <w:spacing w:line="600" w:lineRule="exact"/>
        <w:ind w:left="683"/>
        <w:jc w:val="both"/>
        <w:rPr>
          <w:rFonts w:ascii="黑体" w:hAnsi="黑体" w:eastAsia="黑体" w:cs="黑体"/>
          <w:color w:val="auto"/>
          <w:sz w:val="32"/>
          <w:szCs w:val="32"/>
        </w:rPr>
      </w:pPr>
      <w:r>
        <w:rPr>
          <w:rFonts w:hint="eastAsia" w:ascii="黑体" w:hAnsi="黑体" w:eastAsia="黑体" w:cs="黑体"/>
          <w:color w:val="auto"/>
          <w:sz w:val="32"/>
          <w:szCs w:val="32"/>
        </w:rPr>
        <w:t>二、安置去向</w:t>
      </w:r>
    </w:p>
    <w:p w14:paraId="2659E582">
      <w:pPr>
        <w:spacing w:line="600" w:lineRule="exact"/>
        <w:ind w:left="3" w:right="59" w:firstLine="679"/>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1.对符合选调进城考试条件且有意愿参加考试的在编教师，采取选调考试的方式调入城区学校。</w:t>
      </w:r>
    </w:p>
    <w:p w14:paraId="2B31E8C2">
      <w:pPr>
        <w:spacing w:line="600" w:lineRule="exact"/>
        <w:ind w:left="3" w:right="59" w:firstLine="679"/>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对不符合选调条件、无意愿参加考试、选调考试未考录的在编教师，保留其职称待遇，平移到周边相应学校。聂桥学校在编教师原则上调入丰林学校，高塘学校在编教师原则上调入林泉学校。同时，县教体局根据工作需要，合理统筹调配撤并学校教师资源。</w:t>
      </w:r>
    </w:p>
    <w:p w14:paraId="1CEBA6A8">
      <w:pPr>
        <w:spacing w:line="600" w:lineRule="exact"/>
        <w:ind w:left="3" w:right="59" w:firstLine="679"/>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3.对两校服务期满考核合格的特岗教师和三支一扶支教人员，对口安置到相应学校。</w:t>
      </w:r>
    </w:p>
    <w:p w14:paraId="682FC45D">
      <w:pPr>
        <w:spacing w:line="600" w:lineRule="exact"/>
        <w:ind w:left="3" w:right="59" w:firstLine="679"/>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4.对两校的退休教师，对口划归相应学校管理。</w:t>
      </w:r>
    </w:p>
    <w:p w14:paraId="76FC71AB">
      <w:pPr>
        <w:spacing w:line="600" w:lineRule="exact"/>
        <w:ind w:left="3" w:right="59" w:firstLine="679"/>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5.撤销聂桥学校、高塘学校两所机构，注销相关法人证书及公章，并将机构编制事项提请县委编委会议研究，发文明确。</w:t>
      </w:r>
    </w:p>
    <w:p w14:paraId="69FC2FDF">
      <w:pPr>
        <w:spacing w:line="600" w:lineRule="exact"/>
        <w:ind w:left="684"/>
        <w:jc w:val="both"/>
        <w:rPr>
          <w:rFonts w:ascii="黑体" w:hAnsi="黑体" w:eastAsia="黑体" w:cs="黑体"/>
          <w:color w:val="auto"/>
          <w:sz w:val="32"/>
          <w:szCs w:val="32"/>
        </w:rPr>
      </w:pPr>
      <w:r>
        <w:rPr>
          <w:rFonts w:hint="eastAsia" w:ascii="黑体" w:hAnsi="黑体" w:eastAsia="黑体" w:cs="黑体"/>
          <w:color w:val="auto"/>
          <w:sz w:val="32"/>
          <w:szCs w:val="32"/>
        </w:rPr>
        <w:t>三、人员管理</w:t>
      </w:r>
    </w:p>
    <w:p w14:paraId="381D7FB2">
      <w:pPr>
        <w:spacing w:line="600" w:lineRule="exact"/>
        <w:ind w:left="38" w:right="59" w:firstLine="647"/>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安置教师由流入学校负责统一管理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符合调动条件的当年办理调动手续</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享受流入学校教师同等福利待遇，做到与流入学校人员一视同仁。</w:t>
      </w:r>
    </w:p>
    <w:p w14:paraId="47EDEB54">
      <w:pPr>
        <w:numPr>
          <w:ilvl w:val="0"/>
          <w:numId w:val="0"/>
        </w:numPr>
        <w:spacing w:line="60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工作要求</w:t>
      </w:r>
    </w:p>
    <w:p w14:paraId="4176CD69">
      <w:pPr>
        <w:numPr>
          <w:ilvl w:val="0"/>
          <w:numId w:val="0"/>
        </w:numPr>
        <w:spacing w:line="600" w:lineRule="exact"/>
        <w:ind w:firstLine="643" w:firstLineChars="200"/>
        <w:jc w:val="both"/>
        <w:rPr>
          <w:rFonts w:ascii="Times New Roman" w:hAnsi="Times New Roman" w:eastAsia="仿宋_GB2312" w:cs="Times New Roman"/>
          <w:sz w:val="32"/>
          <w:szCs w:val="32"/>
        </w:rPr>
      </w:pPr>
      <w:r>
        <w:rPr>
          <w:rFonts w:hint="eastAsia" w:ascii="楷体_GB2312" w:hAnsi="楷体_GB2312" w:eastAsia="楷体_GB2312" w:cs="楷体_GB2312"/>
          <w:b/>
          <w:bCs/>
          <w:color w:val="auto"/>
          <w:sz w:val="32"/>
          <w:szCs w:val="32"/>
        </w:rPr>
        <w:t>（一）强化组织领导。</w:t>
      </w:r>
      <w:r>
        <w:rPr>
          <w:rFonts w:ascii="Times New Roman" w:hAnsi="Times New Roman" w:eastAsia="仿宋_GB2312" w:cs="Times New Roman"/>
          <w:color w:val="auto"/>
          <w:sz w:val="32"/>
          <w:szCs w:val="32"/>
        </w:rPr>
        <w:t>县教体局会同县人社局</w:t>
      </w:r>
      <w:r>
        <w:rPr>
          <w:rFonts w:ascii="Times New Roman" w:hAnsi="Times New Roman" w:eastAsia="仿宋_GB2312" w:cs="Times New Roman"/>
          <w:sz w:val="32"/>
          <w:szCs w:val="32"/>
        </w:rPr>
        <w:t>、县委编办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统一指导协调教师安置工作。</w:t>
      </w:r>
    </w:p>
    <w:p w14:paraId="525C15D3">
      <w:pPr>
        <w:spacing w:line="600" w:lineRule="exact"/>
        <w:ind w:firstLine="643" w:firstLineChars="200"/>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（二）精心组织实施</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学校要做好安置教师摸底调查工作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因事设岗，因岗用人，保障撤并学校教师得到妥善安置，做到人尽其用。</w:t>
      </w:r>
    </w:p>
    <w:p w14:paraId="088A7D2F">
      <w:pPr>
        <w:spacing w:line="600" w:lineRule="exact"/>
        <w:ind w:firstLine="631"/>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（三）加强督促指导</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一是学校要加强对安置教师的管理服务和考核评价工作，采取结对帮扶等措施，使之能够尽快适应学校教育教学工作；二是县教体局要做好安置教师跟踪管理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确保教师队伍稳定。</w:t>
      </w:r>
    </w:p>
    <w:bookmarkEnd w:id="0"/>
    <w:p w14:paraId="52C83EDC">
      <w:pPr>
        <w:pStyle w:val="6"/>
        <w:spacing w:line="600" w:lineRule="exact"/>
        <w:ind w:firstLine="640" w:firstLineChars="200"/>
        <w:jc w:val="both"/>
        <w:rPr>
          <w:rFonts w:hint="eastAsia" w:ascii="仿宋" w:hAnsi="仿宋" w:eastAsia="仿宋" w:cs="仿宋"/>
          <w:b w:val="0"/>
          <w:bCs w:val="0"/>
          <w:sz w:val="32"/>
          <w:szCs w:val="32"/>
        </w:rPr>
      </w:pPr>
    </w:p>
    <w:p w14:paraId="307C7F59">
      <w:pPr>
        <w:pStyle w:val="6"/>
        <w:spacing w:line="600" w:lineRule="exact"/>
        <w:ind w:firstLine="640" w:firstLineChars="200"/>
        <w:jc w:val="both"/>
        <w:rPr>
          <w:rFonts w:hint="eastAsia" w:ascii="黑体" w:hAnsi="黑体" w:eastAsia="仿宋" w:cs="黑体"/>
          <w:b w:val="0"/>
          <w:bCs w:val="0"/>
          <w:sz w:val="32"/>
          <w:szCs w:val="32"/>
          <w:lang w:eastAsia="zh-CN"/>
        </w:rPr>
      </w:pP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w:t>
      </w:r>
    </w:p>
    <w:p w14:paraId="1D1DDA32">
      <w:pPr>
        <w:spacing w:line="600" w:lineRule="exact"/>
        <w:ind w:left="663"/>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德安县聂桥学校、高塘学校</w:t>
      </w:r>
      <w:r>
        <w:rPr>
          <w:rFonts w:hint="eastAsia" w:ascii="Times New Roman" w:hAnsi="Times New Roman" w:eastAsia="仿宋_GB2312" w:cs="Times New Roman"/>
          <w:sz w:val="32"/>
          <w:szCs w:val="32"/>
        </w:rPr>
        <w:t>教师意向安置情况统计表</w:t>
      </w:r>
    </w:p>
    <w:p w14:paraId="61A67D25">
      <w:pPr>
        <w:spacing w:line="600" w:lineRule="exact"/>
        <w:jc w:val="both"/>
        <w:rPr>
          <w:rFonts w:ascii="Times New Roman" w:hAnsi="Times New Roman" w:eastAsia="仿宋_GB2312" w:cs="Times New Roman"/>
          <w:sz w:val="32"/>
          <w:szCs w:val="32"/>
        </w:rPr>
        <w:sectPr>
          <w:pgSz w:w="11906" w:h="16839"/>
          <w:pgMar w:top="1417" w:right="1417" w:bottom="1417" w:left="1417" w:header="0" w:footer="981" w:gutter="0"/>
          <w:pgNumType w:fmt="numberInDash"/>
          <w:cols w:space="0" w:num="1"/>
          <w:rtlGutter w:val="0"/>
          <w:docGrid w:linePitch="0" w:charSpace="0"/>
        </w:sectPr>
      </w:pPr>
    </w:p>
    <w:p w14:paraId="6B4A29E0">
      <w:pPr>
        <w:spacing w:line="600" w:lineRule="exact"/>
        <w:jc w:val="both"/>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3-1</w:t>
      </w:r>
    </w:p>
    <w:p w14:paraId="5E3369CE">
      <w:pPr>
        <w:spacing w:line="600" w:lineRule="exact"/>
        <w:ind w:right="-88"/>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德安县聂桥学校、高塘学校</w:t>
      </w:r>
      <w:r>
        <w:rPr>
          <w:rFonts w:hint="eastAsia" w:ascii="方正小标宋简体" w:hAnsi="方正小标宋简体" w:eastAsia="方正小标宋简体" w:cs="方正小标宋简体"/>
          <w:sz w:val="36"/>
          <w:szCs w:val="36"/>
        </w:rPr>
        <w:t>教师</w:t>
      </w:r>
      <w:r>
        <w:rPr>
          <w:rFonts w:hint="eastAsia" w:ascii="方正小标宋简体" w:hAnsi="方正小标宋简体" w:eastAsia="方正小标宋简体" w:cs="方正小标宋简体"/>
          <w:sz w:val="36"/>
          <w:szCs w:val="36"/>
          <w:lang w:val="en-US" w:eastAsia="zh-CN"/>
        </w:rPr>
        <w:t>意向安置情况统计表</w:t>
      </w:r>
    </w:p>
    <w:tbl>
      <w:tblPr>
        <w:tblStyle w:val="14"/>
        <w:tblW w:w="13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188"/>
        <w:gridCol w:w="1038"/>
        <w:gridCol w:w="949"/>
        <w:gridCol w:w="949"/>
        <w:gridCol w:w="950"/>
        <w:gridCol w:w="949"/>
        <w:gridCol w:w="949"/>
        <w:gridCol w:w="950"/>
        <w:gridCol w:w="1242"/>
        <w:gridCol w:w="1242"/>
        <w:gridCol w:w="1242"/>
        <w:gridCol w:w="1245"/>
      </w:tblGrid>
      <w:tr w14:paraId="788E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24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学校</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C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教师数</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8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学历结构</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C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教师资格层次</w:t>
            </w:r>
          </w:p>
        </w:tc>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 置 意 向</w:t>
            </w:r>
          </w:p>
        </w:tc>
      </w:tr>
      <w:tr w14:paraId="0AF4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8395">
            <w:pPr>
              <w:jc w:val="center"/>
              <w:rPr>
                <w:rFonts w:hint="eastAsia" w:ascii="宋体" w:hAnsi="宋体" w:eastAsia="宋体" w:cs="宋体"/>
                <w:i w:val="0"/>
                <w:iCs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9FB8">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0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本科</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专科</w:t>
            </w:r>
          </w:p>
        </w:tc>
        <w:tc>
          <w:tcPr>
            <w:tcW w:w="950" w:type="dxa"/>
            <w:tcBorders>
              <w:top w:val="nil"/>
              <w:left w:val="nil"/>
              <w:bottom w:val="nil"/>
              <w:right w:val="nil"/>
            </w:tcBorders>
            <w:shd w:val="clear" w:color="auto" w:fill="auto"/>
            <w:vAlign w:val="center"/>
          </w:tcPr>
          <w:p w14:paraId="4C278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中师</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9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小学</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7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初中</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高中</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参加选调进城</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C66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已选调</w:t>
            </w:r>
          </w:p>
          <w:p w14:paraId="33E4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须办调动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64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须录用</w:t>
            </w:r>
          </w:p>
          <w:p w14:paraId="4E16A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1C3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其他</w:t>
            </w:r>
          </w:p>
          <w:p w14:paraId="053EA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待安排</w:t>
            </w:r>
          </w:p>
        </w:tc>
      </w:tr>
      <w:tr w14:paraId="564B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3D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聂桥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学校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1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小学部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7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0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8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4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7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4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4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C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7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354A">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245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25D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F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初中部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4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F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F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9277">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6F0C">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D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8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5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5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E300">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9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4B4A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130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特岗及</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三支一扶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3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8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6A2A">
            <w:pPr>
              <w:jc w:val="cente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4AC0">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9B">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7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4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4767">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15AD">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0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26C5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EF8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522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小计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B93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43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346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36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1C9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D21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ED9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C59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48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D5C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271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D7A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5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13</w:t>
            </w:r>
          </w:p>
        </w:tc>
      </w:tr>
      <w:tr w14:paraId="4E76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1C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学校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A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小学部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B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9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4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4C0B">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F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3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0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E78E">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6C2B">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0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00E4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A6C3">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D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初中部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B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8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0B9D">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EC5D">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D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A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4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EC6">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E2E2">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A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4D25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3517">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特岗及</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三支一扶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6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E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C4BA">
            <w:pPr>
              <w:jc w:val="cente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04C8">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757C">
            <w:pPr>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5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AE03">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21A5">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1F0D">
            <w:pPr>
              <w:jc w:val="center"/>
              <w:rPr>
                <w:rFonts w:hint="eastAsia" w:ascii="宋体" w:hAnsi="宋体" w:eastAsia="宋体" w:cs="宋体"/>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F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66D4">
            <w:pPr>
              <w:jc w:val="center"/>
              <w:rPr>
                <w:rFonts w:hint="eastAsia" w:ascii="宋体" w:hAnsi="宋体" w:eastAsia="宋体" w:cs="宋体"/>
                <w:i w:val="0"/>
                <w:iCs w:val="0"/>
                <w:color w:val="000000"/>
                <w:sz w:val="24"/>
                <w:szCs w:val="24"/>
                <w:u w:val="none"/>
              </w:rPr>
            </w:pPr>
          </w:p>
        </w:tc>
      </w:tr>
      <w:tr w14:paraId="4FEA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6941">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FB4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小计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4E3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37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0DA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34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EAE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8287">
            <w:pPr>
              <w:jc w:val="center"/>
              <w:rPr>
                <w:rFonts w:hint="eastAsia" w:ascii="宋体" w:hAnsi="宋体" w:eastAsia="宋体" w:cs="宋体"/>
                <w:b/>
                <w:bCs/>
                <w:i w:val="0"/>
                <w:iCs w:val="0"/>
                <w:color w:val="auto"/>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1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4D8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EA8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E67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2D9">
            <w:pPr>
              <w:jc w:val="center"/>
              <w:rPr>
                <w:rFonts w:hint="eastAsia" w:ascii="宋体" w:hAnsi="宋体" w:eastAsia="宋体" w:cs="宋体"/>
                <w:b/>
                <w:bCs/>
                <w:i w:val="0"/>
                <w:iCs w:val="0"/>
                <w:color w:val="auto"/>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70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96B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snapToGrid w:val="0"/>
                <w:color w:val="auto"/>
                <w:kern w:val="0"/>
                <w:sz w:val="24"/>
                <w:szCs w:val="24"/>
                <w:u w:val="none"/>
                <w:lang w:val="en-US" w:eastAsia="zh-CN" w:bidi="ar"/>
              </w:rPr>
              <w:t>14</w:t>
            </w:r>
          </w:p>
        </w:tc>
      </w:tr>
      <w:tr w14:paraId="339C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E67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合计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BDA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80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1A3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70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C28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AFB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CC8F">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34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050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31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FF3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082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43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EEB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EA6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34F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27</w:t>
            </w:r>
          </w:p>
        </w:tc>
      </w:tr>
    </w:tbl>
    <w:p w14:paraId="1E424237">
      <w:pPr>
        <w:spacing w:line="600" w:lineRule="exact"/>
        <w:ind w:left="22"/>
        <w:jc w:val="both"/>
        <w:rPr>
          <w:rFonts w:hint="eastAsia" w:ascii="黑体" w:hAnsi="黑体" w:eastAsia="黑体" w:cs="黑体"/>
          <w:sz w:val="32"/>
          <w:szCs w:val="32"/>
        </w:rPr>
        <w:sectPr>
          <w:footerReference r:id="rId5" w:type="default"/>
          <w:pgSz w:w="16839" w:h="11906" w:orient="landscape"/>
          <w:pgMar w:top="1587" w:right="1587" w:bottom="1587" w:left="1587" w:header="0" w:footer="981" w:gutter="0"/>
          <w:pgNumType w:fmt="numberInDash"/>
          <w:cols w:space="0" w:num="1"/>
          <w:rtlGutter w:val="0"/>
          <w:docGrid w:linePitch="0" w:charSpace="0"/>
        </w:sectPr>
      </w:pPr>
    </w:p>
    <w:p w14:paraId="020351E2">
      <w:pPr>
        <w:spacing w:line="600" w:lineRule="exact"/>
        <w:ind w:left="22"/>
        <w:jc w:val="both"/>
        <w:rPr>
          <w:rFonts w:ascii="黑体" w:hAnsi="黑体" w:eastAsia="黑体" w:cs="黑体"/>
          <w:sz w:val="32"/>
          <w:szCs w:val="32"/>
        </w:rPr>
      </w:pPr>
      <w:r>
        <w:rPr>
          <w:rFonts w:hint="eastAsia" w:ascii="黑体" w:hAnsi="黑体" w:eastAsia="黑体" w:cs="黑体"/>
          <w:sz w:val="32"/>
          <w:szCs w:val="32"/>
        </w:rPr>
        <w:t>附件4</w:t>
      </w:r>
    </w:p>
    <w:p w14:paraId="2D3F5421">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德安县聂桥学校、高塘学校撤并</w:t>
      </w:r>
    </w:p>
    <w:p w14:paraId="32A0BACC">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学生交通服务方案</w:t>
      </w:r>
    </w:p>
    <w:p w14:paraId="10FBDA76">
      <w:pPr>
        <w:pStyle w:val="6"/>
        <w:spacing w:line="600" w:lineRule="exact"/>
        <w:ind w:left="4" w:firstLine="650"/>
        <w:jc w:val="both"/>
        <w:rPr>
          <w:rFonts w:ascii="Times New Roman" w:hAnsi="Times New Roman" w:eastAsia="仿宋_GB2312" w:cs="Times New Roman"/>
          <w:sz w:val="32"/>
          <w:szCs w:val="32"/>
        </w:rPr>
      </w:pPr>
    </w:p>
    <w:p w14:paraId="4B04E56B">
      <w:pPr>
        <w:pStyle w:val="6"/>
        <w:spacing w:line="600" w:lineRule="exact"/>
        <w:ind w:left="4" w:firstLine="6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加快</w:t>
      </w:r>
      <w:r>
        <w:rPr>
          <w:rFonts w:ascii="Times New Roman" w:hAnsi="Times New Roman" w:eastAsia="仿宋_GB2312" w:cs="Times New Roman"/>
          <w:sz w:val="32"/>
          <w:szCs w:val="32"/>
        </w:rPr>
        <w:t>推进义务教育优质均衡发展和城乡</w:t>
      </w:r>
      <w:r>
        <w:rPr>
          <w:rFonts w:hint="eastAsia" w:ascii="Times New Roman" w:hAnsi="Times New Roman" w:eastAsia="仿宋_GB2312" w:cs="Times New Roman"/>
          <w:sz w:val="32"/>
          <w:szCs w:val="32"/>
          <w:lang w:eastAsia="zh-CN"/>
        </w:rPr>
        <w:t>教育</w:t>
      </w:r>
      <w:r>
        <w:rPr>
          <w:rFonts w:ascii="Times New Roman" w:hAnsi="Times New Roman" w:eastAsia="仿宋_GB2312" w:cs="Times New Roman"/>
          <w:sz w:val="32"/>
          <w:szCs w:val="32"/>
        </w:rPr>
        <w:t>一体化，提高农村义务教育质量和办学效益，积极稳妥有序做好</w:t>
      </w:r>
      <w:r>
        <w:rPr>
          <w:rFonts w:hint="eastAsia" w:ascii="Times New Roman" w:hAnsi="Times New Roman" w:eastAsia="仿宋_GB2312" w:cs="Times New Roman"/>
          <w:sz w:val="32"/>
          <w:szCs w:val="32"/>
          <w:lang w:val="en-US" w:eastAsia="zh-CN"/>
        </w:rPr>
        <w:t>聂桥学校和高塘</w:t>
      </w:r>
      <w:r>
        <w:rPr>
          <w:rFonts w:ascii="Times New Roman" w:hAnsi="Times New Roman" w:eastAsia="仿宋_GB2312" w:cs="Times New Roman"/>
          <w:sz w:val="32"/>
          <w:szCs w:val="32"/>
        </w:rPr>
        <w:t>学校</w:t>
      </w:r>
      <w:r>
        <w:rPr>
          <w:rFonts w:hint="eastAsia" w:ascii="Times New Roman" w:hAnsi="Times New Roman" w:eastAsia="仿宋_GB2312" w:cs="Times New Roman"/>
          <w:sz w:val="32"/>
          <w:szCs w:val="32"/>
          <w:lang w:val="en-US" w:eastAsia="zh-CN"/>
        </w:rPr>
        <w:t>撤并后</w:t>
      </w:r>
      <w:r>
        <w:rPr>
          <w:rFonts w:ascii="Times New Roman" w:hAnsi="Times New Roman" w:eastAsia="仿宋_GB2312" w:cs="Times New Roman"/>
          <w:sz w:val="32"/>
          <w:szCs w:val="32"/>
        </w:rPr>
        <w:t>学生上下学交通服务工作，根据实际，制定本方案。</w:t>
      </w:r>
    </w:p>
    <w:p w14:paraId="1CF3DF61">
      <w:pPr>
        <w:spacing w:line="600" w:lineRule="exact"/>
        <w:ind w:left="640"/>
        <w:jc w:val="both"/>
        <w:rPr>
          <w:rFonts w:ascii="黑体" w:hAnsi="黑体" w:eastAsia="黑体" w:cs="黑体"/>
          <w:sz w:val="32"/>
          <w:szCs w:val="32"/>
        </w:rPr>
      </w:pPr>
      <w:r>
        <w:rPr>
          <w:rFonts w:hint="eastAsia" w:ascii="黑体" w:hAnsi="黑体" w:eastAsia="黑体" w:cs="黑体"/>
          <w:sz w:val="32"/>
          <w:szCs w:val="32"/>
        </w:rPr>
        <w:t>一、工作目标</w:t>
      </w:r>
    </w:p>
    <w:p w14:paraId="29CE848A">
      <w:pPr>
        <w:pStyle w:val="6"/>
        <w:spacing w:line="600" w:lineRule="exact"/>
        <w:ind w:left="6" w:firstLine="67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以优化教育资源配置，促进教育公平和义务教育优质均衡发展为目标，按照“政府主导、市场运作、公司管理、部门监管”的原则，充分利用现有的公交路线</w:t>
      </w:r>
      <w:r>
        <w:rPr>
          <w:rFonts w:hint="eastAsia" w:ascii="Times New Roman" w:hAnsi="Times New Roman" w:eastAsia="仿宋_GB2312" w:cs="Times New Roman"/>
          <w:sz w:val="32"/>
          <w:szCs w:val="32"/>
          <w:lang w:val="en-US" w:eastAsia="zh-CN"/>
        </w:rPr>
        <w:t>增设适宜的学生</w:t>
      </w:r>
      <w:r>
        <w:rPr>
          <w:rFonts w:ascii="Times New Roman" w:hAnsi="Times New Roman" w:eastAsia="仿宋_GB2312" w:cs="Times New Roman"/>
          <w:sz w:val="32"/>
          <w:szCs w:val="32"/>
        </w:rPr>
        <w:t>专线，合理设置行车线路和上下学站点，充分保障优化调整学校学生上下学交通需求和交通安全。</w:t>
      </w:r>
    </w:p>
    <w:p w14:paraId="4C4FBD5D">
      <w:pPr>
        <w:spacing w:line="600" w:lineRule="exact"/>
        <w:ind w:left="640"/>
        <w:jc w:val="both"/>
        <w:rPr>
          <w:rFonts w:ascii="黑体" w:hAnsi="黑体" w:eastAsia="黑体" w:cs="黑体"/>
          <w:sz w:val="32"/>
          <w:szCs w:val="32"/>
        </w:rPr>
      </w:pPr>
      <w:r>
        <w:rPr>
          <w:rFonts w:hint="eastAsia" w:ascii="黑体" w:hAnsi="黑体" w:eastAsia="黑体" w:cs="黑体"/>
          <w:sz w:val="32"/>
          <w:szCs w:val="32"/>
        </w:rPr>
        <w:t>二、工作原则</w:t>
      </w:r>
    </w:p>
    <w:p w14:paraId="008B7886">
      <w:pPr>
        <w:pStyle w:val="6"/>
        <w:spacing w:line="600" w:lineRule="exact"/>
        <w:ind w:left="3" w:firstLine="657"/>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（一）坚持尊重自愿原则</w:t>
      </w:r>
      <w:r>
        <w:rPr>
          <w:rFonts w:ascii="Times New Roman" w:hAnsi="Times New Roman" w:eastAsia="仿宋_GB2312" w:cs="Times New Roman"/>
          <w:b/>
          <w:bCs/>
          <w:sz w:val="32"/>
          <w:szCs w:val="32"/>
        </w:rPr>
        <w:t>。</w:t>
      </w:r>
      <w:r>
        <w:rPr>
          <w:rFonts w:hint="eastAsia" w:ascii="Times New Roman" w:hAnsi="Times New Roman" w:eastAsia="仿宋_GB2312" w:cs="Times New Roman"/>
          <w:b w:val="0"/>
          <w:bCs w:val="0"/>
          <w:sz w:val="32"/>
          <w:szCs w:val="32"/>
          <w:lang w:val="en-US" w:eastAsia="zh-CN"/>
        </w:rPr>
        <w:t>所在乡</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政府</w:t>
      </w:r>
      <w:r>
        <w:rPr>
          <w:rFonts w:hint="eastAsia" w:ascii="Times New Roman" w:hAnsi="Times New Roman" w:eastAsia="仿宋_GB2312" w:cs="Times New Roman"/>
          <w:b w:val="0"/>
          <w:bCs w:val="0"/>
          <w:sz w:val="32"/>
          <w:szCs w:val="32"/>
          <w:lang w:val="en-US" w:eastAsia="zh-CN"/>
        </w:rPr>
        <w:t>和学校要</w:t>
      </w:r>
      <w:r>
        <w:rPr>
          <w:rFonts w:ascii="Times New Roman" w:hAnsi="Times New Roman" w:eastAsia="仿宋_GB2312" w:cs="Times New Roman"/>
          <w:sz w:val="32"/>
          <w:szCs w:val="32"/>
        </w:rPr>
        <w:t>积极引导学生自愿到安置学校就读，家长自愿选择交通出行方式，交通部门、乡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协调解决学生交通出行存在的问题和困难。</w:t>
      </w:r>
    </w:p>
    <w:p w14:paraId="5DEB33F7">
      <w:pPr>
        <w:spacing w:line="600" w:lineRule="exact"/>
        <w:ind w:firstLine="643" w:firstLineChars="200"/>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（二）坚持属地管理原则。</w:t>
      </w:r>
      <w:r>
        <w:rPr>
          <w:rFonts w:hint="eastAsia" w:ascii="Times New Roman" w:hAnsi="Times New Roman" w:eastAsia="仿宋_GB2312" w:cs="Times New Roman"/>
          <w:sz w:val="32"/>
          <w:szCs w:val="32"/>
          <w:lang w:val="en-US" w:eastAsia="zh-CN"/>
        </w:rPr>
        <w:t>所在</w:t>
      </w:r>
      <w:r>
        <w:rPr>
          <w:rFonts w:ascii="Times New Roman" w:hAnsi="Times New Roman" w:eastAsia="仿宋_GB2312" w:cs="Times New Roman"/>
          <w:sz w:val="32"/>
          <w:szCs w:val="32"/>
        </w:rPr>
        <w:t>乡（镇）统筹安排</w:t>
      </w:r>
      <w:r>
        <w:rPr>
          <w:rFonts w:hint="eastAsia" w:ascii="Times New Roman" w:hAnsi="Times New Roman" w:eastAsia="仿宋_GB2312" w:cs="Times New Roman"/>
          <w:sz w:val="32"/>
          <w:szCs w:val="32"/>
          <w:lang w:val="en-US" w:eastAsia="zh-CN"/>
        </w:rPr>
        <w:t>辖区内</w:t>
      </w:r>
      <w:r>
        <w:rPr>
          <w:rFonts w:ascii="Times New Roman" w:hAnsi="Times New Roman" w:eastAsia="仿宋_GB2312" w:cs="Times New Roman"/>
          <w:sz w:val="32"/>
          <w:szCs w:val="32"/>
        </w:rPr>
        <w:t>义务教育</w:t>
      </w:r>
      <w:r>
        <w:rPr>
          <w:rFonts w:hint="eastAsia" w:ascii="Times New Roman" w:hAnsi="Times New Roman" w:eastAsia="仿宋_GB2312" w:cs="Times New Roman"/>
          <w:sz w:val="32"/>
          <w:szCs w:val="32"/>
          <w:lang w:val="en-US" w:eastAsia="zh-CN"/>
        </w:rPr>
        <w:t>学生</w:t>
      </w:r>
      <w:r>
        <w:rPr>
          <w:rFonts w:ascii="Times New Roman" w:hAnsi="Times New Roman" w:eastAsia="仿宋_GB2312" w:cs="Times New Roman"/>
          <w:sz w:val="32"/>
          <w:szCs w:val="32"/>
        </w:rPr>
        <w:t>交通服务及安全管理工作。</w:t>
      </w:r>
    </w:p>
    <w:p w14:paraId="215B3513">
      <w:pPr>
        <w:spacing w:line="600" w:lineRule="exact"/>
        <w:ind w:firstLine="643" w:firstLineChars="200"/>
        <w:jc w:val="both"/>
        <w:rPr>
          <w:rFonts w:ascii="Times New Roman" w:hAnsi="Times New Roman" w:eastAsia="仿宋_GB2312" w:cs="Times New Roman"/>
          <w:snapToGrid w:val="0"/>
          <w:color w:val="000000"/>
          <w:sz w:val="32"/>
          <w:szCs w:val="32"/>
          <w:lang w:val="en-US" w:eastAsia="en-US" w:bidi="ar-SA"/>
        </w:rPr>
      </w:pPr>
      <w:r>
        <w:rPr>
          <w:rFonts w:hint="eastAsia" w:ascii="楷体_GB2312" w:hAnsi="楷体_GB2312" w:eastAsia="楷体_GB2312" w:cs="楷体_GB2312"/>
          <w:b/>
          <w:bCs/>
          <w:sz w:val="32"/>
          <w:szCs w:val="32"/>
        </w:rPr>
        <w:t>（三）坚持便民惠民原则</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县交运局、各乡（镇）要积极支持学生上下学交通服务工作，认真研究并开通符合安全标准的公交线路，</w:t>
      </w:r>
      <w:r>
        <w:rPr>
          <w:rFonts w:ascii="Times New Roman" w:hAnsi="Times New Roman" w:eastAsia="仿宋_GB2312" w:cs="Times New Roman"/>
          <w:snapToGrid w:val="0"/>
          <w:color w:val="000000"/>
          <w:sz w:val="32"/>
          <w:szCs w:val="32"/>
          <w:lang w:val="en-US" w:eastAsia="en-US" w:bidi="ar-SA"/>
        </w:rPr>
        <w:t>合理确定交通线路、站点、班次</w:t>
      </w:r>
      <w:r>
        <w:rPr>
          <w:rFonts w:hint="eastAsia" w:ascii="Times New Roman" w:hAnsi="Times New Roman" w:eastAsia="仿宋_GB2312" w:cs="Times New Roman"/>
          <w:snapToGrid w:val="0"/>
          <w:color w:val="000000"/>
          <w:sz w:val="32"/>
          <w:szCs w:val="32"/>
          <w:lang w:val="en-US" w:eastAsia="zh-CN" w:bidi="ar-SA"/>
        </w:rPr>
        <w:t>，实行定时定点接送学生</w:t>
      </w:r>
      <w:r>
        <w:rPr>
          <w:rFonts w:ascii="Times New Roman" w:hAnsi="Times New Roman" w:eastAsia="仿宋_GB2312" w:cs="Times New Roman"/>
          <w:snapToGrid w:val="0"/>
          <w:color w:val="000000"/>
          <w:sz w:val="32"/>
          <w:szCs w:val="32"/>
          <w:lang w:val="en-US" w:eastAsia="en-US" w:bidi="ar-SA"/>
        </w:rPr>
        <w:t>。乡（镇</w:t>
      </w:r>
      <w:r>
        <w:rPr>
          <w:rFonts w:hint="eastAsia" w:ascii="Times New Roman" w:hAnsi="Times New Roman" w:eastAsia="仿宋_GB2312" w:cs="Times New Roman"/>
          <w:snapToGrid w:val="0"/>
          <w:color w:val="000000"/>
          <w:sz w:val="32"/>
          <w:szCs w:val="32"/>
          <w:lang w:val="en-US" w:eastAsia="zh-CN" w:bidi="ar-SA"/>
        </w:rPr>
        <w:t>）</w:t>
      </w:r>
      <w:r>
        <w:rPr>
          <w:rFonts w:ascii="Times New Roman" w:hAnsi="Times New Roman" w:eastAsia="仿宋_GB2312" w:cs="Times New Roman"/>
          <w:snapToGrid w:val="0"/>
          <w:color w:val="000000"/>
          <w:sz w:val="32"/>
          <w:szCs w:val="32"/>
          <w:lang w:val="en-US" w:eastAsia="en-US" w:bidi="ar-SA"/>
        </w:rPr>
        <w:t>根据实际情况，为家庭困难学生上下学提供便利条件，</w:t>
      </w:r>
      <w:r>
        <w:rPr>
          <w:rFonts w:hint="eastAsia" w:ascii="Times New Roman" w:hAnsi="Times New Roman" w:eastAsia="仿宋_GB2312" w:cs="Times New Roman"/>
          <w:snapToGrid w:val="0"/>
          <w:color w:val="000000"/>
          <w:sz w:val="32"/>
          <w:szCs w:val="32"/>
          <w:lang w:val="en-US" w:eastAsia="zh-CN" w:bidi="ar-SA"/>
        </w:rPr>
        <w:t>在不增加学生家庭经济开支的情况下，</w:t>
      </w:r>
      <w:r>
        <w:rPr>
          <w:rFonts w:ascii="Times New Roman" w:hAnsi="Times New Roman" w:eastAsia="仿宋_GB2312" w:cs="Times New Roman"/>
          <w:snapToGrid w:val="0"/>
          <w:color w:val="000000"/>
          <w:sz w:val="32"/>
          <w:szCs w:val="32"/>
          <w:lang w:val="en-US" w:eastAsia="en-US" w:bidi="ar-SA"/>
        </w:rPr>
        <w:t>确保学生</w:t>
      </w:r>
      <w:r>
        <w:rPr>
          <w:rFonts w:hint="eastAsia" w:ascii="Times New Roman" w:hAnsi="Times New Roman" w:eastAsia="仿宋_GB2312" w:cs="Times New Roman"/>
          <w:snapToGrid w:val="0"/>
          <w:color w:val="000000"/>
          <w:sz w:val="32"/>
          <w:szCs w:val="32"/>
          <w:lang w:val="en-US" w:eastAsia="zh-CN" w:bidi="ar-SA"/>
        </w:rPr>
        <w:t>顺利正常</w:t>
      </w:r>
      <w:r>
        <w:rPr>
          <w:rFonts w:ascii="Times New Roman" w:hAnsi="Times New Roman" w:eastAsia="仿宋_GB2312" w:cs="Times New Roman"/>
          <w:snapToGrid w:val="0"/>
          <w:color w:val="000000"/>
          <w:sz w:val="32"/>
          <w:szCs w:val="32"/>
          <w:lang w:val="en-US" w:eastAsia="en-US" w:bidi="ar-SA"/>
        </w:rPr>
        <w:t>上学。</w:t>
      </w:r>
    </w:p>
    <w:p w14:paraId="41A9F8FE">
      <w:pPr>
        <w:spacing w:line="600" w:lineRule="exact"/>
        <w:ind w:left="639"/>
        <w:jc w:val="both"/>
        <w:outlineLvl w:val="0"/>
        <w:rPr>
          <w:rFonts w:ascii="黑体" w:hAnsi="黑体" w:eastAsia="黑体" w:cs="黑体"/>
          <w:sz w:val="32"/>
          <w:szCs w:val="32"/>
        </w:rPr>
      </w:pPr>
      <w:r>
        <w:rPr>
          <w:rFonts w:hint="eastAsia" w:ascii="黑体" w:hAnsi="黑体" w:eastAsia="黑体" w:cs="黑体"/>
          <w:sz w:val="32"/>
          <w:szCs w:val="32"/>
        </w:rPr>
        <w:t>三、服务对象</w:t>
      </w:r>
    </w:p>
    <w:p w14:paraId="5CB7B1F7">
      <w:pPr>
        <w:pStyle w:val="24"/>
        <w:spacing w:before="0" w:beforeAutospacing="0" w:after="0" w:afterAutospacing="0" w:line="600" w:lineRule="exact"/>
        <w:ind w:firstLine="640" w:firstLineChars="200"/>
        <w:jc w:val="both"/>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napToGrid w:val="0"/>
          <w:color w:val="auto"/>
          <w:sz w:val="32"/>
          <w:szCs w:val="32"/>
          <w:lang w:val="en-US" w:eastAsia="zh-CN" w:bidi="ar-SA"/>
        </w:rPr>
        <w:t>接送聂桥学校及高塘学校因撤并转到丰林学校就读的走读学生和寄宿学生。</w:t>
      </w:r>
      <w:r>
        <w:rPr>
          <w:rFonts w:hint="eastAsia" w:ascii="Times New Roman" w:hAnsi="Times New Roman" w:eastAsia="仿宋_GB2312" w:cs="Times New Roman"/>
          <w:snapToGrid w:val="0"/>
          <w:color w:val="000000"/>
          <w:sz w:val="32"/>
          <w:szCs w:val="32"/>
          <w:lang w:val="en-US" w:eastAsia="zh-CN" w:bidi="ar-SA"/>
        </w:rPr>
        <w:t>鼓励全县农村学校2公里以外的小学生到寄宿制学校就读，以降低上下学交通风险；确实无法寄宿的，纳入交通服务对象范围。</w:t>
      </w:r>
    </w:p>
    <w:p w14:paraId="127D38BA">
      <w:pPr>
        <w:pStyle w:val="24"/>
        <w:spacing w:before="0" w:beforeAutospacing="0" w:after="0" w:afterAutospacing="0" w:line="600" w:lineRule="exact"/>
        <w:ind w:firstLine="640" w:firstLineChars="200"/>
        <w:jc w:val="both"/>
        <w:rPr>
          <w:rFonts w:ascii="黑体" w:hAnsi="黑体" w:eastAsia="黑体" w:cs="黑体"/>
          <w:sz w:val="32"/>
          <w:szCs w:val="32"/>
          <w:lang w:val="zh-TW" w:eastAsia="zh-TW" w:bidi="ar-SA"/>
        </w:rPr>
      </w:pPr>
      <w:r>
        <w:rPr>
          <w:rFonts w:hint="eastAsia" w:ascii="黑体" w:hAnsi="黑体" w:eastAsia="黑体" w:cs="黑体"/>
          <w:sz w:val="32"/>
          <w:szCs w:val="32"/>
          <w:lang w:val="zh-TW" w:eastAsia="zh-TW" w:bidi="ar-SA"/>
        </w:rPr>
        <w:t>四、工作程序</w:t>
      </w:r>
    </w:p>
    <w:p w14:paraId="3074DB2C">
      <w:pPr>
        <w:pStyle w:val="24"/>
        <w:spacing w:before="0" w:beforeAutospacing="0" w:after="0" w:afterAutospacing="0" w:line="600" w:lineRule="exact"/>
        <w:ind w:firstLine="640" w:firstLineChars="200"/>
        <w:jc w:val="both"/>
        <w:rPr>
          <w:rFonts w:ascii="Times New Roman" w:hAnsi="Times New Roman" w:eastAsia="仿宋_GB2312"/>
          <w:sz w:val="32"/>
          <w:szCs w:val="32"/>
          <w:lang w:val="zh-TW" w:eastAsia="zh-TW" w:bidi="ar-SA"/>
        </w:rPr>
      </w:pPr>
      <w:r>
        <w:rPr>
          <w:rFonts w:ascii="Times New Roman" w:hAnsi="Times New Roman" w:eastAsia="仿宋_GB2312"/>
          <w:sz w:val="32"/>
          <w:szCs w:val="32"/>
          <w:lang w:val="zh-TW" w:eastAsia="zh-TW" w:bidi="ar-SA"/>
        </w:rPr>
        <w:t>为加强</w:t>
      </w:r>
      <w:r>
        <w:rPr>
          <w:rFonts w:hint="eastAsia" w:ascii="Times New Roman" w:hAnsi="Times New Roman" w:eastAsia="仿宋_GB2312"/>
          <w:sz w:val="32"/>
          <w:szCs w:val="32"/>
          <w:lang w:val="en-US" w:eastAsia="zh-CN" w:bidi="ar-SA"/>
        </w:rPr>
        <w:t>撤并</w:t>
      </w:r>
      <w:r>
        <w:rPr>
          <w:rFonts w:ascii="Times New Roman" w:hAnsi="Times New Roman" w:eastAsia="仿宋_GB2312"/>
          <w:sz w:val="32"/>
          <w:szCs w:val="32"/>
          <w:lang w:val="zh-TW" w:eastAsia="zh-TW" w:bidi="ar-SA"/>
        </w:rPr>
        <w:t>整合</w:t>
      </w:r>
      <w:r>
        <w:rPr>
          <w:rFonts w:hint="eastAsia" w:ascii="Times New Roman" w:hAnsi="Times New Roman" w:eastAsia="仿宋_GB2312"/>
          <w:sz w:val="32"/>
          <w:szCs w:val="32"/>
          <w:lang w:val="en-US" w:eastAsia="zh-CN" w:bidi="ar-SA"/>
        </w:rPr>
        <w:t>学校</w:t>
      </w:r>
      <w:r>
        <w:rPr>
          <w:rFonts w:ascii="Times New Roman" w:hAnsi="Times New Roman" w:eastAsia="仿宋_GB2312"/>
          <w:sz w:val="32"/>
          <w:szCs w:val="32"/>
          <w:lang w:val="zh-TW" w:eastAsia="zh-TW" w:bidi="ar-SA"/>
        </w:rPr>
        <w:t>学生交通服务规范管理，成立德安县农村</w:t>
      </w:r>
      <w:r>
        <w:rPr>
          <w:rFonts w:hint="eastAsia" w:ascii="Times New Roman" w:hAnsi="Times New Roman" w:eastAsia="仿宋_GB2312"/>
          <w:sz w:val="32"/>
          <w:szCs w:val="32"/>
          <w:lang w:val="zh-TW" w:eastAsia="zh-CN" w:bidi="ar-SA"/>
        </w:rPr>
        <w:t>中</w:t>
      </w:r>
      <w:r>
        <w:rPr>
          <w:rFonts w:ascii="Times New Roman" w:hAnsi="Times New Roman" w:eastAsia="仿宋_GB2312"/>
          <w:sz w:val="32"/>
          <w:szCs w:val="32"/>
          <w:lang w:val="zh-TW" w:eastAsia="zh-TW" w:bidi="ar-SA"/>
        </w:rPr>
        <w:t>小学生交通服务保障工作领导小组，负责全县校园专线安全管理工作。组长由副县长</w:t>
      </w:r>
      <w:r>
        <w:rPr>
          <w:rFonts w:hint="eastAsia" w:ascii="Times New Roman" w:hAnsi="Times New Roman" w:eastAsia="仿宋_GB2312"/>
          <w:sz w:val="32"/>
          <w:szCs w:val="32"/>
          <w:lang w:val="en-US" w:eastAsia="zh-CN" w:bidi="ar-SA"/>
        </w:rPr>
        <w:t>魏霞</w:t>
      </w:r>
      <w:r>
        <w:rPr>
          <w:rFonts w:ascii="Times New Roman" w:hAnsi="Times New Roman" w:eastAsia="仿宋_GB2312"/>
          <w:sz w:val="32"/>
          <w:szCs w:val="32"/>
          <w:lang w:val="zh-TW" w:eastAsia="zh-TW" w:bidi="ar-SA"/>
        </w:rPr>
        <w:t>担任，副组长由县交通运输局局长邓三军、县教体局局长</w:t>
      </w:r>
      <w:r>
        <w:rPr>
          <w:rFonts w:hint="eastAsia" w:ascii="Times New Roman" w:hAnsi="Times New Roman" w:eastAsia="仿宋_GB2312"/>
          <w:sz w:val="32"/>
          <w:szCs w:val="32"/>
          <w:lang w:val="en-US" w:eastAsia="zh-CN" w:bidi="ar-SA"/>
        </w:rPr>
        <w:t>李瑞生</w:t>
      </w:r>
      <w:r>
        <w:rPr>
          <w:rFonts w:ascii="Times New Roman" w:hAnsi="Times New Roman" w:eastAsia="仿宋_GB2312"/>
          <w:sz w:val="32"/>
          <w:szCs w:val="32"/>
          <w:lang w:val="zh-TW" w:eastAsia="zh-TW" w:bidi="ar-SA"/>
        </w:rPr>
        <w:t>担任。</w:t>
      </w:r>
    </w:p>
    <w:p w14:paraId="26E822B0">
      <w:pPr>
        <w:pStyle w:val="24"/>
        <w:spacing w:before="0" w:beforeAutospacing="0" w:after="0" w:afterAutospacing="0" w:line="600" w:lineRule="exact"/>
        <w:ind w:firstLine="640" w:firstLineChars="200"/>
        <w:jc w:val="both"/>
        <w:rPr>
          <w:rFonts w:ascii="Times New Roman" w:hAnsi="Times New Roman" w:eastAsia="仿宋_GB2312"/>
          <w:sz w:val="32"/>
          <w:szCs w:val="32"/>
          <w:lang w:val="zh-TW" w:eastAsia="zh-TW" w:bidi="ar-SA"/>
        </w:rPr>
      </w:pPr>
      <w:r>
        <w:rPr>
          <w:rFonts w:ascii="Times New Roman" w:hAnsi="Times New Roman" w:eastAsia="仿宋_GB2312"/>
          <w:sz w:val="32"/>
          <w:szCs w:val="32"/>
          <w:lang w:val="zh-TW" w:eastAsia="zh-TW" w:bidi="ar-SA"/>
        </w:rPr>
        <w:t>领导小组下设办公室，办公室设在县交运局，工作人员由县委宣传部、县交运局、县教体局、县财政局、县公安局、县应急管理局、各乡（镇）分管领导</w:t>
      </w:r>
      <w:r>
        <w:rPr>
          <w:rFonts w:hint="eastAsia" w:ascii="Times New Roman" w:hAnsi="Times New Roman" w:eastAsia="仿宋_GB2312"/>
          <w:sz w:val="32"/>
          <w:szCs w:val="32"/>
          <w:lang w:val="en-US" w:eastAsia="zh-CN" w:bidi="ar-SA"/>
        </w:rPr>
        <w:t>及学校校长</w:t>
      </w:r>
      <w:r>
        <w:rPr>
          <w:rFonts w:ascii="Times New Roman" w:hAnsi="Times New Roman" w:eastAsia="仿宋_GB2312"/>
          <w:sz w:val="32"/>
          <w:szCs w:val="32"/>
          <w:lang w:val="zh-TW" w:eastAsia="zh-TW" w:bidi="ar-SA"/>
        </w:rPr>
        <w:t>组成。负责为撤并至</w:t>
      </w:r>
      <w:r>
        <w:rPr>
          <w:rFonts w:hint="eastAsia" w:ascii="Times New Roman" w:hAnsi="Times New Roman" w:eastAsia="仿宋_GB2312"/>
          <w:sz w:val="32"/>
          <w:szCs w:val="32"/>
          <w:lang w:val="en-US" w:eastAsia="zh-CN" w:bidi="ar-SA"/>
        </w:rPr>
        <w:t>接收</w:t>
      </w:r>
      <w:r>
        <w:rPr>
          <w:rFonts w:ascii="Times New Roman" w:hAnsi="Times New Roman" w:eastAsia="仿宋_GB2312"/>
          <w:sz w:val="32"/>
          <w:szCs w:val="32"/>
          <w:lang w:val="zh-TW" w:eastAsia="zh-TW" w:bidi="ar-SA"/>
        </w:rPr>
        <w:t>学校就读的学生提供上下学往返公交服务，同时统筹兼顾老生的交通需要。</w:t>
      </w:r>
    </w:p>
    <w:p w14:paraId="2FA559FE">
      <w:pPr>
        <w:pStyle w:val="26"/>
        <w:tabs>
          <w:tab w:val="left" w:pos="1686"/>
        </w:tabs>
        <w:snapToGrid w:val="0"/>
        <w:spacing w:line="600" w:lineRule="exact"/>
        <w:ind w:left="643"/>
        <w:jc w:val="both"/>
        <w:rPr>
          <w:rFonts w:ascii="楷体_GB2312" w:hAnsi="楷体_GB2312" w:eastAsia="楷体_GB2312" w:cs="楷体_GB2312"/>
          <w:b/>
          <w:sz w:val="32"/>
          <w:szCs w:val="32"/>
          <w:lang w:val="zh-TW"/>
        </w:rPr>
      </w:pPr>
      <w:r>
        <w:rPr>
          <w:rFonts w:hint="eastAsia" w:ascii="楷体_GB2312" w:hAnsi="楷体_GB2312" w:eastAsia="楷体_GB2312" w:cs="楷体_GB2312"/>
          <w:b/>
          <w:sz w:val="32"/>
          <w:szCs w:val="32"/>
          <w:lang w:val="zh-TW"/>
        </w:rPr>
        <w:t>（一）</w:t>
      </w:r>
      <w:r>
        <w:rPr>
          <w:rFonts w:hint="eastAsia" w:ascii="楷体_GB2312" w:hAnsi="楷体_GB2312" w:eastAsia="楷体_GB2312" w:cs="楷体_GB2312"/>
          <w:b/>
          <w:sz w:val="32"/>
          <w:szCs w:val="32"/>
          <w:lang w:val="zh-TW" w:eastAsia="zh-TW"/>
        </w:rPr>
        <w:t>开展需求摸底。</w:t>
      </w:r>
      <w:r>
        <w:rPr>
          <w:rFonts w:hint="eastAsia" w:ascii="楷体_GB2312" w:hAnsi="楷体_GB2312" w:eastAsia="楷体_GB2312" w:cs="楷体_GB2312"/>
          <w:b/>
          <w:sz w:val="32"/>
          <w:szCs w:val="32"/>
          <w:lang w:val="zh-TW"/>
        </w:rPr>
        <w:t>（202</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lang w:val="zh-TW"/>
        </w:rPr>
        <w:t>年</w:t>
      </w:r>
      <w:r>
        <w:rPr>
          <w:rFonts w:hint="eastAsia" w:ascii="楷体_GB2312" w:hAnsi="楷体_GB2312" w:eastAsia="楷体_GB2312" w:cs="楷体_GB2312"/>
          <w:b/>
          <w:sz w:val="32"/>
          <w:szCs w:val="32"/>
          <w:lang w:val="en-US" w:eastAsia="zh-CN"/>
        </w:rPr>
        <w:t>6</w:t>
      </w:r>
      <w:r>
        <w:rPr>
          <w:rFonts w:hint="eastAsia" w:ascii="楷体_GB2312" w:hAnsi="楷体_GB2312" w:eastAsia="楷体_GB2312" w:cs="楷体_GB2312"/>
          <w:b/>
          <w:sz w:val="32"/>
          <w:szCs w:val="32"/>
          <w:lang w:val="zh-TW"/>
        </w:rPr>
        <w:t>月30日前）</w:t>
      </w:r>
    </w:p>
    <w:p w14:paraId="681595FF">
      <w:pPr>
        <w:tabs>
          <w:tab w:val="left" w:pos="1686"/>
        </w:tabs>
        <w:spacing w:line="600" w:lineRule="exact"/>
        <w:ind w:firstLine="640" w:firstLineChars="200"/>
        <w:jc w:val="both"/>
        <w:rPr>
          <w:rFonts w:hint="eastAsia" w:ascii="Times New Roman" w:hAnsi="Times New Roman" w:eastAsia="仿宋_GB2312" w:cs="Times New Roman"/>
          <w:b/>
          <w:bCs/>
          <w:color w:val="FF0000"/>
          <w:sz w:val="32"/>
          <w:szCs w:val="32"/>
          <w:lang w:val="zh-TW" w:eastAsia="zh-CN"/>
        </w:rPr>
      </w:pPr>
      <w:r>
        <w:rPr>
          <w:rFonts w:ascii="Times New Roman" w:hAnsi="Times New Roman" w:eastAsia="仿宋_GB2312" w:cs="Times New Roman"/>
          <w:sz w:val="32"/>
          <w:szCs w:val="32"/>
          <w:lang w:val="zh-TW" w:eastAsia="zh-TW"/>
        </w:rPr>
        <w:t>由县交运局、各乡（镇）、县长运公司组织专门力量赴各撤并学校调研，摸清学生上下学交通需求、道路路况、站点设置、车辆需求等情况，拟定学生上下学交通出行交通路线，并拟定公共交通接送服务的运营方案。</w:t>
      </w:r>
    </w:p>
    <w:p w14:paraId="15321BD0">
      <w:pPr>
        <w:pStyle w:val="26"/>
        <w:widowControl w:val="0"/>
        <w:numPr>
          <w:ilvl w:val="0"/>
          <w:numId w:val="0"/>
        </w:numPr>
        <w:tabs>
          <w:tab w:val="left" w:pos="1691"/>
        </w:tabs>
        <w:snapToGrid w:val="0"/>
        <w:spacing w:line="600" w:lineRule="exact"/>
        <w:ind w:left="643" w:leftChars="0"/>
        <w:jc w:val="both"/>
        <w:rPr>
          <w:rFonts w:ascii="楷体_GB2312" w:hAnsi="楷体_GB2312" w:eastAsia="楷体_GB2312" w:cs="楷体_GB2312"/>
          <w:b/>
          <w:sz w:val="32"/>
          <w:szCs w:val="32"/>
          <w:lang w:val="zh-TW"/>
        </w:rPr>
      </w:pPr>
      <w:bookmarkStart w:id="1" w:name="bookmark11"/>
      <w:bookmarkEnd w:id="1"/>
      <w:bookmarkStart w:id="2" w:name="bookmark12"/>
      <w:r>
        <w:rPr>
          <w:rFonts w:hint="eastAsia" w:ascii="楷体_GB2312" w:hAnsi="楷体_GB2312" w:eastAsia="楷体_GB2312" w:cs="楷体_GB2312"/>
          <w:b/>
          <w:sz w:val="32"/>
          <w:szCs w:val="32"/>
          <w:lang w:val="zh-TW"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val="zh-TW" w:eastAsia="zh-CN"/>
        </w:rPr>
        <w:t>）</w:t>
      </w:r>
      <w:r>
        <w:rPr>
          <w:rFonts w:hint="eastAsia" w:ascii="楷体_GB2312" w:hAnsi="楷体_GB2312" w:eastAsia="楷体_GB2312" w:cs="楷体_GB2312"/>
          <w:b/>
          <w:sz w:val="32"/>
          <w:szCs w:val="32"/>
          <w:lang w:val="zh-TW" w:eastAsia="zh-TW"/>
        </w:rPr>
        <w:t>完善运营方案。</w:t>
      </w:r>
      <w:r>
        <w:rPr>
          <w:rFonts w:hint="eastAsia" w:ascii="楷体_GB2312" w:hAnsi="楷体_GB2312" w:eastAsia="楷体_GB2312" w:cs="楷体_GB2312"/>
          <w:b/>
          <w:sz w:val="32"/>
          <w:szCs w:val="32"/>
          <w:lang w:val="zh-TW"/>
        </w:rPr>
        <w:t>（202</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lang w:val="zh-TW"/>
        </w:rPr>
        <w:t>年</w:t>
      </w:r>
      <w:r>
        <w:rPr>
          <w:rFonts w:hint="eastAsia" w:ascii="楷体_GB2312" w:hAnsi="楷体_GB2312" w:eastAsia="楷体_GB2312" w:cs="楷体_GB2312"/>
          <w:b/>
          <w:sz w:val="32"/>
          <w:szCs w:val="32"/>
          <w:lang w:val="en-US" w:eastAsia="zh-CN"/>
        </w:rPr>
        <w:t>7</w:t>
      </w:r>
      <w:r>
        <w:rPr>
          <w:rFonts w:hint="eastAsia" w:ascii="楷体_GB2312" w:hAnsi="楷体_GB2312" w:eastAsia="楷体_GB2312" w:cs="楷体_GB2312"/>
          <w:b/>
          <w:sz w:val="32"/>
          <w:szCs w:val="32"/>
          <w:lang w:val="zh-TW"/>
        </w:rPr>
        <w:t>月</w:t>
      </w:r>
      <w:r>
        <w:rPr>
          <w:rFonts w:hint="eastAsia" w:ascii="楷体_GB2312" w:hAnsi="楷体_GB2312" w:eastAsia="楷体_GB2312" w:cs="楷体_GB2312"/>
          <w:b/>
          <w:sz w:val="32"/>
          <w:szCs w:val="32"/>
          <w:lang w:val="en-US" w:eastAsia="zh-CN"/>
        </w:rPr>
        <w:t>30</w:t>
      </w:r>
      <w:r>
        <w:rPr>
          <w:rFonts w:hint="eastAsia" w:ascii="楷体_GB2312" w:hAnsi="楷体_GB2312" w:eastAsia="楷体_GB2312" w:cs="楷体_GB2312"/>
          <w:b/>
          <w:sz w:val="32"/>
          <w:szCs w:val="32"/>
          <w:lang w:val="zh-TW"/>
        </w:rPr>
        <w:t>日前）</w:t>
      </w:r>
    </w:p>
    <w:p w14:paraId="77CAE055">
      <w:pPr>
        <w:widowControl w:val="0"/>
        <w:tabs>
          <w:tab w:val="left" w:pos="1691"/>
        </w:tabs>
        <w:spacing w:line="60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由县交运局、县长运公司、县财政局、县教体局针对前期摸底的路线需求，论证完善公共交通接送服务运营方案，明确接送的路线、站点、费用及车辆配备方案、符合资质的司机配备等。</w:t>
      </w:r>
    </w:p>
    <w:bookmarkEnd w:id="2"/>
    <w:p w14:paraId="5348E30D">
      <w:pPr>
        <w:widowControl w:val="0"/>
        <w:tabs>
          <w:tab w:val="left" w:pos="1691"/>
        </w:tabs>
        <w:spacing w:line="600" w:lineRule="exact"/>
        <w:ind w:firstLine="643" w:firstLineChars="200"/>
        <w:jc w:val="both"/>
        <w:rPr>
          <w:rFonts w:ascii="Times New Roman" w:hAnsi="Times New Roman" w:eastAsia="仿宋_GB2312" w:cs="Times New Roman"/>
          <w:b/>
          <w:bCs/>
          <w:sz w:val="32"/>
          <w:szCs w:val="32"/>
          <w:lang w:val="zh-TW" w:eastAsia="zh-TW"/>
        </w:rPr>
      </w:pPr>
      <w:r>
        <w:rPr>
          <w:rFonts w:hint="eastAsia" w:ascii="Times New Roman" w:hAnsi="Times New Roman" w:eastAsia="仿宋_GB2312" w:cs="Times New Roman"/>
          <w:b/>
          <w:bCs/>
          <w:sz w:val="32"/>
          <w:szCs w:val="32"/>
          <w:lang w:val="zh-TW" w:eastAsia="zh-CN"/>
        </w:rPr>
        <w:t>（</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lang w:val="zh-TW" w:eastAsia="zh-CN"/>
        </w:rPr>
        <w:t>）</w:t>
      </w:r>
      <w:r>
        <w:rPr>
          <w:rFonts w:hint="eastAsia" w:ascii="Times New Roman" w:hAnsi="Times New Roman" w:eastAsia="仿宋_GB2312" w:cs="Times New Roman"/>
          <w:b/>
          <w:bCs/>
          <w:sz w:val="32"/>
          <w:szCs w:val="32"/>
          <w:lang w:val="zh-TW" w:eastAsia="zh-TW"/>
        </w:rPr>
        <w:t>落实交通保障。（202</w:t>
      </w:r>
      <w:r>
        <w:rPr>
          <w:rFonts w:hint="eastAsia"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zh-TW" w:eastAsia="zh-TW"/>
        </w:rPr>
        <w:t>年</w:t>
      </w:r>
      <w:r>
        <w:rPr>
          <w:rFonts w:hint="eastAsia"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val="zh-TW" w:eastAsia="zh-TW"/>
        </w:rPr>
        <w:t>月</w:t>
      </w:r>
      <w:r>
        <w:rPr>
          <w:rFonts w:hint="eastAsia" w:ascii="Times New Roman" w:hAnsi="Times New Roman" w:eastAsia="仿宋_GB2312" w:cs="Times New Roman"/>
          <w:b/>
          <w:bCs/>
          <w:sz w:val="32"/>
          <w:szCs w:val="32"/>
          <w:lang w:val="en-US" w:eastAsia="zh-CN"/>
        </w:rPr>
        <w:t>20</w:t>
      </w:r>
      <w:r>
        <w:rPr>
          <w:rFonts w:hint="eastAsia" w:ascii="Times New Roman" w:hAnsi="Times New Roman" w:eastAsia="仿宋_GB2312" w:cs="Times New Roman"/>
          <w:b/>
          <w:bCs/>
          <w:sz w:val="32"/>
          <w:szCs w:val="32"/>
          <w:lang w:val="zh-TW" w:eastAsia="zh-TW"/>
        </w:rPr>
        <w:t>日前）</w:t>
      </w:r>
    </w:p>
    <w:p w14:paraId="321F90BD">
      <w:pPr>
        <w:widowControl w:val="0"/>
        <w:tabs>
          <w:tab w:val="left" w:pos="1691"/>
        </w:tabs>
        <w:spacing w:line="60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县教体局</w:t>
      </w:r>
      <w:r>
        <w:rPr>
          <w:rFonts w:hint="eastAsia" w:ascii="Times New Roman" w:hAnsi="Times New Roman" w:eastAsia="仿宋_GB2312" w:cs="Times New Roman"/>
          <w:sz w:val="32"/>
          <w:szCs w:val="32"/>
          <w:lang w:val="zh-TW" w:eastAsia="zh-CN"/>
        </w:rPr>
        <w:t>负责</w:t>
      </w:r>
      <w:r>
        <w:rPr>
          <w:rFonts w:ascii="Times New Roman" w:hAnsi="Times New Roman" w:eastAsia="仿宋_GB2312" w:cs="Times New Roman"/>
          <w:sz w:val="32"/>
          <w:szCs w:val="32"/>
          <w:lang w:val="zh-TW" w:eastAsia="zh-TW"/>
        </w:rPr>
        <w:t>组织</w:t>
      </w:r>
      <w:r>
        <w:rPr>
          <w:rFonts w:hint="eastAsia" w:ascii="Times New Roman" w:hAnsi="Times New Roman" w:eastAsia="仿宋_GB2312" w:cs="Times New Roman"/>
          <w:sz w:val="32"/>
          <w:szCs w:val="32"/>
          <w:lang w:val="en-US" w:eastAsia="zh-CN"/>
        </w:rPr>
        <w:t>接收</w:t>
      </w:r>
      <w:r>
        <w:rPr>
          <w:rFonts w:ascii="Times New Roman" w:hAnsi="Times New Roman" w:eastAsia="仿宋_GB2312" w:cs="Times New Roman"/>
          <w:sz w:val="32"/>
          <w:szCs w:val="32"/>
          <w:lang w:val="zh-TW" w:eastAsia="zh-TW"/>
        </w:rPr>
        <w:t>学校做好学生到校上下车、到站点上下学的安全教育工作；县公安局</w:t>
      </w:r>
      <w:r>
        <w:rPr>
          <w:rFonts w:hint="eastAsia" w:ascii="Times New Roman" w:hAnsi="Times New Roman" w:eastAsia="仿宋_GB2312" w:cs="Times New Roman"/>
          <w:sz w:val="32"/>
          <w:szCs w:val="32"/>
          <w:lang w:val="zh-TW" w:eastAsia="zh-CN"/>
        </w:rPr>
        <w:t>负责</w:t>
      </w:r>
      <w:r>
        <w:rPr>
          <w:rFonts w:ascii="Times New Roman" w:hAnsi="Times New Roman" w:eastAsia="仿宋_GB2312" w:cs="Times New Roman"/>
          <w:sz w:val="32"/>
          <w:szCs w:val="32"/>
          <w:lang w:val="zh-TW" w:eastAsia="zh-TW"/>
        </w:rPr>
        <w:t>加强对城乡公交延伸线路的道路交通秩序管理，维护交通秩序，做实做强校园护学岗；县交运局</w:t>
      </w:r>
      <w:r>
        <w:rPr>
          <w:rFonts w:hint="eastAsia" w:ascii="Times New Roman" w:hAnsi="Times New Roman" w:eastAsia="仿宋_GB2312" w:cs="Times New Roman"/>
          <w:sz w:val="32"/>
          <w:szCs w:val="32"/>
          <w:lang w:val="zh-TW" w:eastAsia="zh-CN"/>
        </w:rPr>
        <w:t>负责</w:t>
      </w:r>
      <w:r>
        <w:rPr>
          <w:rFonts w:ascii="Times New Roman" w:hAnsi="Times New Roman" w:eastAsia="仿宋_GB2312" w:cs="Times New Roman"/>
          <w:sz w:val="32"/>
          <w:szCs w:val="32"/>
          <w:lang w:val="zh-TW" w:eastAsia="zh-TW"/>
        </w:rPr>
        <w:t>为农村学生上下学提供公路基础设施和道路运输保障；县财政局</w:t>
      </w:r>
      <w:r>
        <w:rPr>
          <w:rFonts w:hint="eastAsia" w:ascii="Times New Roman" w:hAnsi="Times New Roman" w:eastAsia="仿宋_GB2312" w:cs="Times New Roman"/>
          <w:sz w:val="32"/>
          <w:szCs w:val="32"/>
          <w:lang w:val="zh-TW" w:eastAsia="zh-CN"/>
        </w:rPr>
        <w:t>负责</w:t>
      </w:r>
      <w:r>
        <w:rPr>
          <w:rFonts w:hint="eastAsia" w:ascii="Times New Roman" w:hAnsi="Times New Roman" w:eastAsia="仿宋_GB2312" w:cs="Times New Roman"/>
          <w:sz w:val="32"/>
          <w:szCs w:val="32"/>
          <w:lang w:val="en-US" w:eastAsia="zh-CN"/>
        </w:rPr>
        <w:t>落实学生接送所需经费，</w:t>
      </w:r>
      <w:r>
        <w:rPr>
          <w:rFonts w:ascii="Times New Roman" w:hAnsi="Times New Roman" w:eastAsia="仿宋_GB2312" w:cs="Times New Roman"/>
          <w:sz w:val="32"/>
          <w:szCs w:val="32"/>
          <w:lang w:val="zh-TW" w:eastAsia="zh-TW"/>
        </w:rPr>
        <w:t>解决学生上下学交通车辆政策性财政补贴。</w:t>
      </w:r>
    </w:p>
    <w:p w14:paraId="3C83BCF7">
      <w:pPr>
        <w:spacing w:line="600" w:lineRule="exact"/>
        <w:ind w:left="643"/>
        <w:jc w:val="both"/>
        <w:outlineLvl w:val="0"/>
        <w:rPr>
          <w:rFonts w:ascii="黑体" w:hAnsi="黑体" w:eastAsia="黑体" w:cs="黑体"/>
          <w:color w:val="auto"/>
          <w:sz w:val="32"/>
          <w:szCs w:val="32"/>
        </w:rPr>
      </w:pPr>
      <w:r>
        <w:rPr>
          <w:rFonts w:hint="eastAsia" w:ascii="黑体" w:hAnsi="黑体" w:eastAsia="黑体" w:cs="黑体"/>
          <w:color w:val="auto"/>
          <w:sz w:val="32"/>
          <w:szCs w:val="32"/>
        </w:rPr>
        <w:t>五、工作要求</w:t>
      </w:r>
    </w:p>
    <w:p w14:paraId="079A7D7E">
      <w:pPr>
        <w:pStyle w:val="6"/>
        <w:spacing w:line="600" w:lineRule="exact"/>
        <w:ind w:left="5" w:firstLine="655"/>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（一）精心实施，强化监管。</w:t>
      </w:r>
      <w:r>
        <w:rPr>
          <w:rFonts w:ascii="Times New Roman" w:hAnsi="Times New Roman" w:eastAsia="仿宋_GB2312" w:cs="Times New Roman"/>
          <w:sz w:val="32"/>
          <w:szCs w:val="32"/>
        </w:rPr>
        <w:t>各相关单位要大力加强学生 上下学公共交通服务安全监管，要建立健全突发学生交通事故应急预案，强化应急培训和演练，进一步增强突发学生交通事 故应急处置能力。</w:t>
      </w:r>
    </w:p>
    <w:p w14:paraId="7D0078FB">
      <w:pPr>
        <w:pStyle w:val="6"/>
        <w:spacing w:line="600" w:lineRule="exact"/>
        <w:ind w:left="5" w:firstLine="655"/>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（二）加强监督检查</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公布监督电话，强化社会监督，学生交通保障组要定期组织执法检查，严查非法营运车辆，确保学生上下学交通安全。</w:t>
      </w:r>
    </w:p>
    <w:p w14:paraId="2124612A">
      <w:pPr>
        <w:pStyle w:val="6"/>
        <w:spacing w:line="600" w:lineRule="exact"/>
        <w:ind w:firstLine="661"/>
        <w:jc w:val="both"/>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（三）建立机制，形成合力。</w:t>
      </w:r>
      <w:r>
        <w:rPr>
          <w:rFonts w:ascii="Times New Roman" w:hAnsi="Times New Roman" w:eastAsia="仿宋_GB2312" w:cs="Times New Roman"/>
          <w:sz w:val="32"/>
          <w:szCs w:val="32"/>
        </w:rPr>
        <w:t>各乡（镇）要履行“属地管理、分级负责”职责，切实加强校园及周边安全、学生上下学交通安全等综合治理，确保做到“ 守土有责、保一方平安”。各职能部门要履行“谁主管、谁负责 ”职责，各负其责，联防联控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定期研判形势，协商解决办法，建立健全学生上下学公共交通服务安全保障长效机制。</w:t>
      </w:r>
    </w:p>
    <w:p w14:paraId="762E2EC0">
      <w:pPr>
        <w:spacing w:line="600" w:lineRule="exact"/>
        <w:jc w:val="both"/>
        <w:rPr>
          <w:rFonts w:ascii="Times New Roman" w:hAnsi="Times New Roman" w:eastAsia="仿宋_GB2312" w:cs="Times New Roman"/>
          <w:sz w:val="32"/>
          <w:szCs w:val="32"/>
        </w:rPr>
      </w:pPr>
    </w:p>
    <w:p w14:paraId="090FC2BB">
      <w:pPr>
        <w:pStyle w:val="6"/>
        <w:spacing w:line="600" w:lineRule="exact"/>
        <w:ind w:left="658"/>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14:paraId="5CA341F5">
      <w:pPr>
        <w:pStyle w:val="6"/>
        <w:spacing w:line="600" w:lineRule="exact"/>
        <w:ind w:left="658"/>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德安县聂桥学校、高塘学校</w:t>
      </w:r>
      <w:r>
        <w:rPr>
          <w:rFonts w:ascii="Times New Roman" w:hAnsi="Times New Roman" w:eastAsia="仿宋_GB2312" w:cs="Times New Roman"/>
          <w:sz w:val="32"/>
          <w:szCs w:val="32"/>
        </w:rPr>
        <w:t>学生交通需求摸底表</w:t>
      </w:r>
    </w:p>
    <w:p w14:paraId="3B454C28">
      <w:pPr>
        <w:pStyle w:val="6"/>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德安县聂桥学校、高塘学校</w:t>
      </w:r>
      <w:r>
        <w:rPr>
          <w:rFonts w:ascii="Times New Roman" w:hAnsi="Times New Roman" w:eastAsia="仿宋_GB2312" w:cs="Times New Roman"/>
          <w:sz w:val="32"/>
          <w:szCs w:val="32"/>
        </w:rPr>
        <w:t>学生需乘坐交通安排及经费保障</w:t>
      </w:r>
      <w:r>
        <w:rPr>
          <w:rFonts w:hint="eastAsia" w:ascii="Times New Roman" w:hAnsi="Times New Roman" w:eastAsia="仿宋_GB2312" w:cs="Times New Roman"/>
          <w:sz w:val="32"/>
          <w:szCs w:val="32"/>
          <w:lang w:val="en-US" w:eastAsia="zh-CN"/>
        </w:rPr>
        <w:t>表</w:t>
      </w:r>
    </w:p>
    <w:p w14:paraId="107267B1">
      <w:pPr>
        <w:spacing w:line="600" w:lineRule="exact"/>
        <w:jc w:val="both"/>
        <w:rPr>
          <w:rFonts w:ascii="Times New Roman" w:hAnsi="Times New Roman" w:eastAsia="仿宋_GB2312" w:cs="Times New Roman"/>
          <w:sz w:val="32"/>
          <w:szCs w:val="32"/>
        </w:rPr>
        <w:sectPr>
          <w:footerReference r:id="rId6" w:type="default"/>
          <w:pgSz w:w="11905" w:h="16838"/>
          <w:pgMar w:top="1587" w:right="1587" w:bottom="1587" w:left="1587" w:header="0" w:footer="981" w:gutter="0"/>
          <w:pgNumType w:fmt="numberInDash"/>
          <w:cols w:space="0" w:num="1"/>
          <w:rtlGutter w:val="0"/>
          <w:docGrid w:linePitch="0" w:charSpace="0"/>
        </w:sectPr>
      </w:pPr>
    </w:p>
    <w:p w14:paraId="14CBAAC0">
      <w:pPr>
        <w:spacing w:line="600" w:lineRule="exact"/>
        <w:ind w:left="151"/>
        <w:jc w:val="both"/>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w:t>
      </w:r>
      <w:r>
        <w:rPr>
          <w:rFonts w:hint="eastAsia" w:ascii="黑体" w:hAnsi="黑体" w:eastAsia="黑体" w:cs="黑体"/>
          <w:sz w:val="32"/>
          <w:szCs w:val="32"/>
        </w:rPr>
        <w:t>1</w:t>
      </w:r>
    </w:p>
    <w:p w14:paraId="2A7D2F7A">
      <w:pPr>
        <w:spacing w:line="600" w:lineRule="exact"/>
        <w:jc w:val="center"/>
        <w:rPr>
          <w:rFonts w:ascii="Times New Roman" w:hAnsi="Times New Roman" w:eastAsia="仿宋_GB2312" w:cs="Times New Roman"/>
          <w:sz w:val="32"/>
          <w:szCs w:val="32"/>
        </w:rPr>
      </w:pPr>
      <w:r>
        <w:rPr>
          <w:rFonts w:hint="eastAsia" w:ascii="方正小标宋简体" w:hAnsi="方正小标宋简体" w:eastAsia="方正小标宋简体" w:cs="方正小标宋简体"/>
          <w:sz w:val="36"/>
          <w:szCs w:val="36"/>
          <w:lang w:val="en-US" w:eastAsia="zh-CN"/>
        </w:rPr>
        <w:t>德安县聂桥学校、高塘学校</w:t>
      </w:r>
      <w:r>
        <w:rPr>
          <w:rFonts w:hint="eastAsia" w:ascii="方正小标宋简体" w:hAnsi="方正小标宋简体" w:eastAsia="方正小标宋简体" w:cs="方正小标宋简体"/>
          <w:sz w:val="36"/>
          <w:szCs w:val="36"/>
        </w:rPr>
        <w:t>学生交通需求摸底表</w:t>
      </w:r>
    </w:p>
    <w:tbl>
      <w:tblPr>
        <w:tblStyle w:val="18"/>
        <w:tblW w:w="13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39"/>
        <w:gridCol w:w="1959"/>
        <w:gridCol w:w="1905"/>
        <w:gridCol w:w="1515"/>
        <w:gridCol w:w="1380"/>
        <w:gridCol w:w="1155"/>
        <w:gridCol w:w="1020"/>
        <w:gridCol w:w="960"/>
        <w:gridCol w:w="900"/>
        <w:gridCol w:w="1290"/>
      </w:tblGrid>
      <w:tr w14:paraId="13D4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35" w:type="dxa"/>
            <w:vMerge w:val="restart"/>
            <w:tcBorders>
              <w:bottom w:val="nil"/>
            </w:tcBorders>
            <w:vAlign w:val="center"/>
          </w:tcPr>
          <w:p w14:paraId="38CB1772">
            <w:pPr>
              <w:pStyle w:val="19"/>
              <w:spacing w:line="400" w:lineRule="exact"/>
              <w:ind w:left="126"/>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w:t>
            </w:r>
          </w:p>
          <w:p w14:paraId="2325ADC7">
            <w:pPr>
              <w:pStyle w:val="19"/>
              <w:spacing w:line="400" w:lineRule="exact"/>
              <w:ind w:left="126"/>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号</w:t>
            </w:r>
          </w:p>
        </w:tc>
        <w:tc>
          <w:tcPr>
            <w:tcW w:w="1139" w:type="dxa"/>
            <w:vMerge w:val="restart"/>
            <w:tcBorders>
              <w:bottom w:val="nil"/>
            </w:tcBorders>
            <w:vAlign w:val="center"/>
          </w:tcPr>
          <w:p w14:paraId="0F582101">
            <w:pPr>
              <w:pStyle w:val="19"/>
              <w:spacing w:line="400" w:lineRule="exact"/>
              <w:ind w:left="256" w:right="249" w:firstLine="8"/>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学生</w:t>
            </w:r>
            <w:r>
              <w:rPr>
                <w:rFonts w:ascii="Times New Roman" w:hAnsi="Times New Roman" w:eastAsia="仿宋_GB2312" w:cs="Times New Roman"/>
                <w:sz w:val="24"/>
                <w:szCs w:val="24"/>
              </w:rPr>
              <w:t xml:space="preserve"> </w:t>
            </w:r>
            <w:r>
              <w:rPr>
                <w:rFonts w:ascii="Times New Roman" w:hAnsi="Times New Roman" w:eastAsia="仿宋_GB2312" w:cs="Times New Roman"/>
                <w:b/>
                <w:bCs/>
                <w:sz w:val="24"/>
                <w:szCs w:val="24"/>
              </w:rPr>
              <w:t>姓名</w:t>
            </w:r>
          </w:p>
        </w:tc>
        <w:tc>
          <w:tcPr>
            <w:tcW w:w="1959" w:type="dxa"/>
            <w:vMerge w:val="restart"/>
            <w:tcBorders>
              <w:bottom w:val="nil"/>
            </w:tcBorders>
            <w:vAlign w:val="center"/>
          </w:tcPr>
          <w:p w14:paraId="19B8C678">
            <w:pPr>
              <w:pStyle w:val="19"/>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现就读学校</w:t>
            </w:r>
          </w:p>
          <w:p w14:paraId="10AE41AB">
            <w:pPr>
              <w:pStyle w:val="19"/>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b/>
                <w:bCs/>
                <w:sz w:val="24"/>
                <w:szCs w:val="24"/>
                <w:lang w:val="en-US" w:eastAsia="zh-CN"/>
              </w:rPr>
              <w:t>及秋季年级</w:t>
            </w:r>
          </w:p>
        </w:tc>
        <w:tc>
          <w:tcPr>
            <w:tcW w:w="1905" w:type="dxa"/>
            <w:vMerge w:val="restart"/>
            <w:tcBorders>
              <w:bottom w:val="nil"/>
            </w:tcBorders>
            <w:vAlign w:val="center"/>
          </w:tcPr>
          <w:p w14:paraId="1051A905">
            <w:pPr>
              <w:pStyle w:val="19"/>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家庭住址</w:t>
            </w:r>
          </w:p>
        </w:tc>
        <w:tc>
          <w:tcPr>
            <w:tcW w:w="1515" w:type="dxa"/>
            <w:vMerge w:val="restart"/>
            <w:vAlign w:val="center"/>
          </w:tcPr>
          <w:p w14:paraId="20E1BFF6">
            <w:pPr>
              <w:pStyle w:val="19"/>
              <w:spacing w:line="400" w:lineRule="exact"/>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公交车</w:t>
            </w:r>
          </w:p>
          <w:p w14:paraId="28C6AE90">
            <w:pPr>
              <w:pStyle w:val="19"/>
              <w:spacing w:line="400" w:lineRule="exact"/>
              <w:jc w:val="center"/>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接送点</w:t>
            </w:r>
          </w:p>
        </w:tc>
        <w:tc>
          <w:tcPr>
            <w:tcW w:w="1380" w:type="dxa"/>
            <w:vMerge w:val="restart"/>
            <w:tcBorders>
              <w:bottom w:val="nil"/>
            </w:tcBorders>
            <w:vAlign w:val="center"/>
          </w:tcPr>
          <w:p w14:paraId="3628C903">
            <w:pPr>
              <w:pStyle w:val="19"/>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拟接收</w:t>
            </w:r>
          </w:p>
          <w:p w14:paraId="006AF87D">
            <w:pPr>
              <w:pStyle w:val="19"/>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学校</w:t>
            </w:r>
          </w:p>
        </w:tc>
        <w:tc>
          <w:tcPr>
            <w:tcW w:w="1155" w:type="dxa"/>
            <w:vMerge w:val="restart"/>
            <w:tcBorders>
              <w:bottom w:val="nil"/>
            </w:tcBorders>
            <w:vAlign w:val="center"/>
          </w:tcPr>
          <w:p w14:paraId="64052650">
            <w:pPr>
              <w:pStyle w:val="19"/>
              <w:spacing w:line="400" w:lineRule="exact"/>
              <w:ind w:left="132"/>
              <w:jc w:val="center"/>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接送点</w:t>
            </w:r>
            <w:r>
              <w:rPr>
                <w:rFonts w:ascii="Times New Roman" w:hAnsi="Times New Roman" w:eastAsia="仿宋_GB2312" w:cs="Times New Roman"/>
                <w:b/>
                <w:bCs/>
                <w:sz w:val="24"/>
                <w:szCs w:val="24"/>
              </w:rPr>
              <w:t>至接收学校距离</w:t>
            </w:r>
          </w:p>
          <w:p w14:paraId="4D721764">
            <w:pPr>
              <w:pStyle w:val="19"/>
              <w:spacing w:line="400" w:lineRule="exact"/>
              <w:ind w:left="130"/>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（km）</w:t>
            </w:r>
          </w:p>
        </w:tc>
        <w:tc>
          <w:tcPr>
            <w:tcW w:w="4170" w:type="dxa"/>
            <w:gridSpan w:val="4"/>
            <w:vAlign w:val="center"/>
          </w:tcPr>
          <w:p w14:paraId="78A2B6F1">
            <w:pPr>
              <w:pStyle w:val="19"/>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送学方式</w:t>
            </w:r>
          </w:p>
        </w:tc>
      </w:tr>
      <w:tr w14:paraId="4916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635" w:type="dxa"/>
            <w:vMerge w:val="continue"/>
            <w:tcBorders>
              <w:top w:val="nil"/>
            </w:tcBorders>
            <w:vAlign w:val="center"/>
          </w:tcPr>
          <w:p w14:paraId="5F42F432">
            <w:pPr>
              <w:spacing w:line="400" w:lineRule="exact"/>
              <w:jc w:val="center"/>
              <w:rPr>
                <w:rFonts w:ascii="Times New Roman" w:hAnsi="Times New Roman" w:eastAsia="仿宋_GB2312" w:cs="Times New Roman"/>
                <w:sz w:val="24"/>
                <w:szCs w:val="24"/>
              </w:rPr>
            </w:pPr>
          </w:p>
        </w:tc>
        <w:tc>
          <w:tcPr>
            <w:tcW w:w="1139" w:type="dxa"/>
            <w:vMerge w:val="continue"/>
            <w:tcBorders>
              <w:top w:val="nil"/>
            </w:tcBorders>
            <w:vAlign w:val="center"/>
          </w:tcPr>
          <w:p w14:paraId="23C7132F">
            <w:pPr>
              <w:spacing w:line="400" w:lineRule="exact"/>
              <w:jc w:val="center"/>
              <w:rPr>
                <w:rFonts w:ascii="Times New Roman" w:hAnsi="Times New Roman" w:eastAsia="仿宋_GB2312" w:cs="Times New Roman"/>
                <w:sz w:val="24"/>
                <w:szCs w:val="24"/>
              </w:rPr>
            </w:pPr>
          </w:p>
        </w:tc>
        <w:tc>
          <w:tcPr>
            <w:tcW w:w="1959" w:type="dxa"/>
            <w:vMerge w:val="continue"/>
            <w:tcBorders>
              <w:top w:val="nil"/>
            </w:tcBorders>
            <w:vAlign w:val="center"/>
          </w:tcPr>
          <w:p w14:paraId="3A80706F">
            <w:pPr>
              <w:spacing w:line="400" w:lineRule="exact"/>
              <w:jc w:val="center"/>
              <w:rPr>
                <w:rFonts w:ascii="Times New Roman" w:hAnsi="Times New Roman" w:eastAsia="仿宋_GB2312" w:cs="Times New Roman"/>
                <w:sz w:val="24"/>
                <w:szCs w:val="24"/>
              </w:rPr>
            </w:pPr>
          </w:p>
        </w:tc>
        <w:tc>
          <w:tcPr>
            <w:tcW w:w="1905" w:type="dxa"/>
            <w:vMerge w:val="continue"/>
            <w:tcBorders>
              <w:top w:val="nil"/>
            </w:tcBorders>
            <w:vAlign w:val="center"/>
          </w:tcPr>
          <w:p w14:paraId="64FFFFDC">
            <w:pPr>
              <w:spacing w:line="400" w:lineRule="exact"/>
              <w:jc w:val="center"/>
              <w:rPr>
                <w:rFonts w:ascii="Times New Roman" w:hAnsi="Times New Roman" w:eastAsia="仿宋_GB2312" w:cs="Times New Roman"/>
                <w:sz w:val="24"/>
                <w:szCs w:val="24"/>
              </w:rPr>
            </w:pPr>
          </w:p>
        </w:tc>
        <w:tc>
          <w:tcPr>
            <w:tcW w:w="1515" w:type="dxa"/>
            <w:vMerge w:val="continue"/>
            <w:vAlign w:val="center"/>
          </w:tcPr>
          <w:p w14:paraId="7351905C">
            <w:pPr>
              <w:spacing w:line="400" w:lineRule="exact"/>
              <w:jc w:val="center"/>
              <w:rPr>
                <w:rFonts w:ascii="Times New Roman" w:hAnsi="Times New Roman" w:eastAsia="仿宋_GB2312" w:cs="Times New Roman"/>
                <w:sz w:val="24"/>
                <w:szCs w:val="24"/>
              </w:rPr>
            </w:pPr>
          </w:p>
        </w:tc>
        <w:tc>
          <w:tcPr>
            <w:tcW w:w="1380" w:type="dxa"/>
            <w:vMerge w:val="continue"/>
            <w:tcBorders>
              <w:top w:val="nil"/>
            </w:tcBorders>
            <w:vAlign w:val="center"/>
          </w:tcPr>
          <w:p w14:paraId="753C2852">
            <w:pPr>
              <w:spacing w:line="400" w:lineRule="exact"/>
              <w:jc w:val="center"/>
              <w:rPr>
                <w:rFonts w:ascii="Times New Roman" w:hAnsi="Times New Roman" w:eastAsia="仿宋_GB2312" w:cs="Times New Roman"/>
                <w:sz w:val="24"/>
                <w:szCs w:val="24"/>
              </w:rPr>
            </w:pPr>
          </w:p>
        </w:tc>
        <w:tc>
          <w:tcPr>
            <w:tcW w:w="1155" w:type="dxa"/>
            <w:vMerge w:val="continue"/>
            <w:tcBorders>
              <w:top w:val="nil"/>
            </w:tcBorders>
            <w:vAlign w:val="center"/>
          </w:tcPr>
          <w:p w14:paraId="2CE4A91C">
            <w:pPr>
              <w:spacing w:line="400" w:lineRule="exact"/>
              <w:jc w:val="center"/>
              <w:rPr>
                <w:rFonts w:ascii="Times New Roman" w:hAnsi="Times New Roman" w:eastAsia="仿宋_GB2312" w:cs="Times New Roman"/>
                <w:sz w:val="24"/>
                <w:szCs w:val="24"/>
              </w:rPr>
            </w:pPr>
          </w:p>
        </w:tc>
        <w:tc>
          <w:tcPr>
            <w:tcW w:w="1020" w:type="dxa"/>
            <w:vAlign w:val="center"/>
          </w:tcPr>
          <w:p w14:paraId="70B0BD51">
            <w:pPr>
              <w:pStyle w:val="19"/>
              <w:spacing w:line="400" w:lineRule="exact"/>
              <w:ind w:left="161" w:right="140" w:firstLine="59"/>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公交接</w:t>
            </w:r>
            <w:r>
              <w:rPr>
                <w:rFonts w:ascii="Times New Roman" w:hAnsi="Times New Roman" w:eastAsia="仿宋_GB2312" w:cs="Times New Roman"/>
                <w:sz w:val="24"/>
                <w:szCs w:val="24"/>
              </w:rPr>
              <w:t xml:space="preserve"> </w:t>
            </w:r>
            <w:r>
              <w:rPr>
                <w:rFonts w:ascii="Times New Roman" w:hAnsi="Times New Roman" w:eastAsia="仿宋_GB2312" w:cs="Times New Roman"/>
                <w:b/>
                <w:bCs/>
                <w:sz w:val="24"/>
                <w:szCs w:val="24"/>
              </w:rPr>
              <w:t>送次数</w:t>
            </w:r>
            <w:r>
              <w:rPr>
                <w:rFonts w:hint="eastAsia" w:ascii="Times New Roman" w:hAnsi="Times New Roman" w:eastAsia="仿宋_GB2312" w:cs="Times New Roman"/>
                <w:b/>
                <w:bCs/>
                <w:sz w:val="24"/>
                <w:szCs w:val="24"/>
                <w:lang w:val="en-US" w:eastAsia="zh-CN"/>
              </w:rPr>
              <w:t>/</w:t>
            </w:r>
            <w:r>
              <w:rPr>
                <w:rFonts w:ascii="Times New Roman" w:hAnsi="Times New Roman" w:eastAsia="仿宋_GB2312" w:cs="Times New Roman"/>
                <w:b/>
                <w:bCs/>
                <w:sz w:val="24"/>
                <w:szCs w:val="24"/>
              </w:rPr>
              <w:t>每天</w:t>
            </w:r>
          </w:p>
        </w:tc>
        <w:tc>
          <w:tcPr>
            <w:tcW w:w="960" w:type="dxa"/>
            <w:vAlign w:val="center"/>
          </w:tcPr>
          <w:p w14:paraId="49976213">
            <w:pPr>
              <w:pStyle w:val="19"/>
              <w:spacing w:line="400" w:lineRule="exact"/>
              <w:ind w:right="157"/>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单程</w:t>
            </w:r>
          </w:p>
          <w:p w14:paraId="53CD6F9E">
            <w:pPr>
              <w:pStyle w:val="19"/>
              <w:spacing w:line="400" w:lineRule="exact"/>
              <w:ind w:right="157"/>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票价</w:t>
            </w:r>
          </w:p>
          <w:p w14:paraId="064BFE91">
            <w:pPr>
              <w:pStyle w:val="19"/>
              <w:spacing w:line="400" w:lineRule="exact"/>
              <w:ind w:right="157"/>
              <w:jc w:val="both"/>
              <w:rPr>
                <w:rFonts w:ascii="Times New Roman" w:hAnsi="Times New Roman" w:eastAsia="仿宋_GB2312" w:cs="Times New Roman"/>
                <w:sz w:val="24"/>
                <w:szCs w:val="24"/>
              </w:rPr>
            </w:pPr>
            <w:r>
              <w:rPr>
                <w:rFonts w:ascii="Times New Roman" w:hAnsi="Times New Roman" w:eastAsia="仿宋_GB2312" w:cs="Times New Roman"/>
                <w:b/>
                <w:bCs/>
                <w:sz w:val="24"/>
                <w:szCs w:val="24"/>
              </w:rPr>
              <w:t>（元）</w:t>
            </w:r>
          </w:p>
        </w:tc>
        <w:tc>
          <w:tcPr>
            <w:tcW w:w="900" w:type="dxa"/>
            <w:vAlign w:val="center"/>
          </w:tcPr>
          <w:p w14:paraId="7EE5776B">
            <w:pPr>
              <w:pStyle w:val="19"/>
              <w:spacing w:line="400" w:lineRule="exact"/>
              <w:ind w:left="120" w:right="105" w:firstLine="3"/>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单日票价</w:t>
            </w:r>
            <w:r>
              <w:rPr>
                <w:rFonts w:ascii="Times New Roman" w:hAnsi="Times New Roman" w:eastAsia="仿宋_GB2312" w:cs="Times New Roman"/>
                <w:sz w:val="24"/>
                <w:szCs w:val="24"/>
              </w:rPr>
              <w:t xml:space="preserve"> </w:t>
            </w:r>
            <w:r>
              <w:rPr>
                <w:rFonts w:ascii="Times New Roman" w:hAnsi="Times New Roman" w:eastAsia="仿宋_GB2312" w:cs="Times New Roman"/>
                <w:b/>
                <w:bCs/>
                <w:sz w:val="24"/>
                <w:szCs w:val="24"/>
              </w:rPr>
              <w:t>（元）</w:t>
            </w:r>
          </w:p>
        </w:tc>
        <w:tc>
          <w:tcPr>
            <w:tcW w:w="1290" w:type="dxa"/>
            <w:vAlign w:val="center"/>
          </w:tcPr>
          <w:p w14:paraId="32BA8611">
            <w:pPr>
              <w:pStyle w:val="19"/>
              <w:spacing w:line="400" w:lineRule="exact"/>
              <w:ind w:left="240" w:right="121" w:hanging="9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b/>
                <w:bCs/>
                <w:sz w:val="24"/>
                <w:szCs w:val="24"/>
                <w:lang w:val="en-US" w:eastAsia="zh-CN"/>
              </w:rPr>
              <w:t>一年费用预算（元）</w:t>
            </w:r>
          </w:p>
        </w:tc>
      </w:tr>
      <w:tr w14:paraId="5B0E9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0A221006">
            <w:pPr>
              <w:spacing w:line="400" w:lineRule="exact"/>
              <w:jc w:val="center"/>
              <w:rPr>
                <w:rFonts w:ascii="Times New Roman" w:hAnsi="Times New Roman" w:eastAsia="仿宋_GB2312" w:cs="Times New Roman"/>
                <w:sz w:val="24"/>
                <w:szCs w:val="24"/>
              </w:rPr>
            </w:pPr>
          </w:p>
        </w:tc>
        <w:tc>
          <w:tcPr>
            <w:tcW w:w="1139" w:type="dxa"/>
            <w:vAlign w:val="center"/>
          </w:tcPr>
          <w:p w14:paraId="74E7BC3E">
            <w:pPr>
              <w:spacing w:line="400" w:lineRule="exact"/>
              <w:jc w:val="center"/>
              <w:rPr>
                <w:rFonts w:hint="default" w:ascii="Times New Roman" w:hAnsi="Times New Roman" w:eastAsia="仿宋_GB2312" w:cs="Times New Roman"/>
                <w:sz w:val="24"/>
                <w:szCs w:val="24"/>
                <w:lang w:val="en-US" w:eastAsia="zh-CN"/>
              </w:rPr>
            </w:pPr>
          </w:p>
        </w:tc>
        <w:tc>
          <w:tcPr>
            <w:tcW w:w="1959" w:type="dxa"/>
            <w:vAlign w:val="center"/>
          </w:tcPr>
          <w:p w14:paraId="6D3002BD">
            <w:pPr>
              <w:spacing w:line="400" w:lineRule="exact"/>
              <w:jc w:val="center"/>
              <w:rPr>
                <w:rFonts w:hint="default" w:ascii="Times New Roman" w:hAnsi="Times New Roman" w:eastAsia="仿宋_GB2312" w:cs="Times New Roman"/>
                <w:sz w:val="24"/>
                <w:szCs w:val="24"/>
                <w:lang w:val="en-US" w:eastAsia="zh-CN"/>
              </w:rPr>
            </w:pPr>
          </w:p>
        </w:tc>
        <w:tc>
          <w:tcPr>
            <w:tcW w:w="1905" w:type="dxa"/>
            <w:vAlign w:val="center"/>
          </w:tcPr>
          <w:p w14:paraId="064B9386">
            <w:pPr>
              <w:spacing w:line="400" w:lineRule="exact"/>
              <w:jc w:val="center"/>
              <w:rPr>
                <w:rFonts w:hint="default" w:ascii="Times New Roman" w:hAnsi="Times New Roman" w:eastAsia="仿宋_GB2312" w:cs="Times New Roman"/>
                <w:sz w:val="24"/>
                <w:szCs w:val="24"/>
                <w:lang w:val="en-US" w:eastAsia="zh-CN"/>
              </w:rPr>
            </w:pPr>
          </w:p>
        </w:tc>
        <w:tc>
          <w:tcPr>
            <w:tcW w:w="1515" w:type="dxa"/>
            <w:vAlign w:val="center"/>
          </w:tcPr>
          <w:p w14:paraId="471FA76B">
            <w:pPr>
              <w:spacing w:line="400" w:lineRule="exact"/>
              <w:jc w:val="center"/>
              <w:rPr>
                <w:rFonts w:hint="default" w:ascii="Times New Roman" w:hAnsi="Times New Roman" w:eastAsia="仿宋_GB2312" w:cs="Times New Roman"/>
                <w:sz w:val="24"/>
                <w:szCs w:val="24"/>
                <w:lang w:val="en-US" w:eastAsia="zh-CN"/>
              </w:rPr>
            </w:pPr>
          </w:p>
        </w:tc>
        <w:tc>
          <w:tcPr>
            <w:tcW w:w="1380" w:type="dxa"/>
            <w:vAlign w:val="center"/>
          </w:tcPr>
          <w:p w14:paraId="11987B18">
            <w:pPr>
              <w:spacing w:line="400" w:lineRule="exact"/>
              <w:jc w:val="center"/>
              <w:rPr>
                <w:rFonts w:hint="default" w:ascii="Times New Roman" w:hAnsi="Times New Roman" w:eastAsia="仿宋_GB2312" w:cs="Times New Roman"/>
                <w:sz w:val="24"/>
                <w:szCs w:val="24"/>
                <w:lang w:val="en-US" w:eastAsia="zh-CN"/>
              </w:rPr>
            </w:pPr>
          </w:p>
        </w:tc>
        <w:tc>
          <w:tcPr>
            <w:tcW w:w="1155" w:type="dxa"/>
            <w:vAlign w:val="center"/>
          </w:tcPr>
          <w:p w14:paraId="0B826A09">
            <w:pPr>
              <w:spacing w:line="400" w:lineRule="exact"/>
              <w:jc w:val="center"/>
              <w:rPr>
                <w:rFonts w:ascii="Times New Roman" w:hAnsi="Times New Roman" w:eastAsia="仿宋_GB2312" w:cs="Times New Roman"/>
                <w:sz w:val="24"/>
                <w:szCs w:val="24"/>
              </w:rPr>
            </w:pPr>
          </w:p>
        </w:tc>
        <w:tc>
          <w:tcPr>
            <w:tcW w:w="1020" w:type="dxa"/>
            <w:vAlign w:val="center"/>
          </w:tcPr>
          <w:p w14:paraId="69DB0F5B">
            <w:pPr>
              <w:spacing w:line="400" w:lineRule="exact"/>
              <w:jc w:val="center"/>
              <w:rPr>
                <w:rFonts w:ascii="Times New Roman" w:hAnsi="Times New Roman" w:eastAsia="仿宋_GB2312" w:cs="Times New Roman"/>
                <w:sz w:val="24"/>
                <w:szCs w:val="24"/>
              </w:rPr>
            </w:pPr>
          </w:p>
        </w:tc>
        <w:tc>
          <w:tcPr>
            <w:tcW w:w="960" w:type="dxa"/>
            <w:vAlign w:val="center"/>
          </w:tcPr>
          <w:p w14:paraId="31B43DFC">
            <w:pPr>
              <w:spacing w:line="400" w:lineRule="exact"/>
              <w:jc w:val="center"/>
              <w:rPr>
                <w:rFonts w:ascii="Times New Roman" w:hAnsi="Times New Roman" w:eastAsia="仿宋_GB2312" w:cs="Times New Roman"/>
                <w:sz w:val="24"/>
                <w:szCs w:val="24"/>
              </w:rPr>
            </w:pPr>
          </w:p>
        </w:tc>
        <w:tc>
          <w:tcPr>
            <w:tcW w:w="900" w:type="dxa"/>
            <w:vAlign w:val="center"/>
          </w:tcPr>
          <w:p w14:paraId="1D42FAEF">
            <w:pPr>
              <w:spacing w:line="400" w:lineRule="exact"/>
              <w:jc w:val="center"/>
              <w:rPr>
                <w:rFonts w:ascii="Times New Roman" w:hAnsi="Times New Roman" w:eastAsia="仿宋_GB2312" w:cs="Times New Roman"/>
                <w:sz w:val="24"/>
                <w:szCs w:val="24"/>
              </w:rPr>
            </w:pPr>
          </w:p>
        </w:tc>
        <w:tc>
          <w:tcPr>
            <w:tcW w:w="1290" w:type="dxa"/>
            <w:vAlign w:val="center"/>
          </w:tcPr>
          <w:p w14:paraId="7ED21595">
            <w:pPr>
              <w:spacing w:line="400" w:lineRule="exact"/>
              <w:jc w:val="center"/>
              <w:rPr>
                <w:rFonts w:ascii="Times New Roman" w:hAnsi="Times New Roman" w:eastAsia="仿宋_GB2312" w:cs="Times New Roman"/>
                <w:sz w:val="24"/>
                <w:szCs w:val="24"/>
              </w:rPr>
            </w:pPr>
          </w:p>
        </w:tc>
      </w:tr>
      <w:tr w14:paraId="1B352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3DFD5662">
            <w:pPr>
              <w:spacing w:line="400" w:lineRule="exact"/>
              <w:jc w:val="center"/>
              <w:rPr>
                <w:rFonts w:ascii="Times New Roman" w:hAnsi="Times New Roman" w:eastAsia="仿宋_GB2312" w:cs="Times New Roman"/>
                <w:sz w:val="24"/>
                <w:szCs w:val="24"/>
              </w:rPr>
            </w:pPr>
          </w:p>
        </w:tc>
        <w:tc>
          <w:tcPr>
            <w:tcW w:w="1139" w:type="dxa"/>
            <w:vAlign w:val="center"/>
          </w:tcPr>
          <w:p w14:paraId="506B3085">
            <w:pPr>
              <w:spacing w:line="400" w:lineRule="exact"/>
              <w:jc w:val="center"/>
              <w:rPr>
                <w:rFonts w:ascii="Times New Roman" w:hAnsi="Times New Roman" w:eastAsia="仿宋_GB2312" w:cs="Times New Roman"/>
                <w:sz w:val="24"/>
                <w:szCs w:val="24"/>
              </w:rPr>
            </w:pPr>
          </w:p>
        </w:tc>
        <w:tc>
          <w:tcPr>
            <w:tcW w:w="1959" w:type="dxa"/>
            <w:vAlign w:val="center"/>
          </w:tcPr>
          <w:p w14:paraId="75A4D92A">
            <w:pPr>
              <w:spacing w:line="400" w:lineRule="exact"/>
              <w:jc w:val="center"/>
              <w:rPr>
                <w:rFonts w:ascii="Times New Roman" w:hAnsi="Times New Roman" w:eastAsia="仿宋_GB2312" w:cs="Times New Roman"/>
                <w:sz w:val="24"/>
                <w:szCs w:val="24"/>
              </w:rPr>
            </w:pPr>
          </w:p>
        </w:tc>
        <w:tc>
          <w:tcPr>
            <w:tcW w:w="1905" w:type="dxa"/>
            <w:vAlign w:val="center"/>
          </w:tcPr>
          <w:p w14:paraId="79CD94B5">
            <w:pPr>
              <w:spacing w:line="400" w:lineRule="exact"/>
              <w:jc w:val="center"/>
              <w:rPr>
                <w:rFonts w:ascii="Times New Roman" w:hAnsi="Times New Roman" w:eastAsia="仿宋_GB2312" w:cs="Times New Roman"/>
                <w:sz w:val="24"/>
                <w:szCs w:val="24"/>
              </w:rPr>
            </w:pPr>
          </w:p>
        </w:tc>
        <w:tc>
          <w:tcPr>
            <w:tcW w:w="1515" w:type="dxa"/>
            <w:vAlign w:val="center"/>
          </w:tcPr>
          <w:p w14:paraId="50570246">
            <w:pPr>
              <w:spacing w:line="400" w:lineRule="exact"/>
              <w:jc w:val="center"/>
              <w:rPr>
                <w:rFonts w:ascii="Times New Roman" w:hAnsi="Times New Roman" w:eastAsia="仿宋_GB2312" w:cs="Times New Roman"/>
                <w:sz w:val="24"/>
                <w:szCs w:val="24"/>
              </w:rPr>
            </w:pPr>
          </w:p>
        </w:tc>
        <w:tc>
          <w:tcPr>
            <w:tcW w:w="1380" w:type="dxa"/>
            <w:vAlign w:val="center"/>
          </w:tcPr>
          <w:p w14:paraId="4585E05C">
            <w:pPr>
              <w:spacing w:line="400" w:lineRule="exact"/>
              <w:jc w:val="center"/>
              <w:rPr>
                <w:rFonts w:ascii="Times New Roman" w:hAnsi="Times New Roman" w:eastAsia="仿宋_GB2312" w:cs="Times New Roman"/>
                <w:sz w:val="24"/>
                <w:szCs w:val="24"/>
              </w:rPr>
            </w:pPr>
          </w:p>
        </w:tc>
        <w:tc>
          <w:tcPr>
            <w:tcW w:w="1155" w:type="dxa"/>
            <w:vAlign w:val="center"/>
          </w:tcPr>
          <w:p w14:paraId="1EAFFC0F">
            <w:pPr>
              <w:spacing w:line="400" w:lineRule="exact"/>
              <w:jc w:val="center"/>
              <w:rPr>
                <w:rFonts w:ascii="Times New Roman" w:hAnsi="Times New Roman" w:eastAsia="仿宋_GB2312" w:cs="Times New Roman"/>
                <w:sz w:val="24"/>
                <w:szCs w:val="24"/>
              </w:rPr>
            </w:pPr>
          </w:p>
        </w:tc>
        <w:tc>
          <w:tcPr>
            <w:tcW w:w="1020" w:type="dxa"/>
            <w:vAlign w:val="center"/>
          </w:tcPr>
          <w:p w14:paraId="1602472C">
            <w:pPr>
              <w:spacing w:line="400" w:lineRule="exact"/>
              <w:jc w:val="center"/>
              <w:rPr>
                <w:rFonts w:ascii="Times New Roman" w:hAnsi="Times New Roman" w:eastAsia="仿宋_GB2312" w:cs="Times New Roman"/>
                <w:sz w:val="24"/>
                <w:szCs w:val="24"/>
              </w:rPr>
            </w:pPr>
          </w:p>
        </w:tc>
        <w:tc>
          <w:tcPr>
            <w:tcW w:w="960" w:type="dxa"/>
            <w:vAlign w:val="center"/>
          </w:tcPr>
          <w:p w14:paraId="621146F2">
            <w:pPr>
              <w:spacing w:line="400" w:lineRule="exact"/>
              <w:jc w:val="center"/>
              <w:rPr>
                <w:rFonts w:ascii="Times New Roman" w:hAnsi="Times New Roman" w:eastAsia="仿宋_GB2312" w:cs="Times New Roman"/>
                <w:sz w:val="24"/>
                <w:szCs w:val="24"/>
              </w:rPr>
            </w:pPr>
          </w:p>
        </w:tc>
        <w:tc>
          <w:tcPr>
            <w:tcW w:w="900" w:type="dxa"/>
            <w:vAlign w:val="center"/>
          </w:tcPr>
          <w:p w14:paraId="126D7B60">
            <w:pPr>
              <w:spacing w:line="400" w:lineRule="exact"/>
              <w:jc w:val="center"/>
              <w:rPr>
                <w:rFonts w:ascii="Times New Roman" w:hAnsi="Times New Roman" w:eastAsia="仿宋_GB2312" w:cs="Times New Roman"/>
                <w:sz w:val="24"/>
                <w:szCs w:val="24"/>
              </w:rPr>
            </w:pPr>
          </w:p>
        </w:tc>
        <w:tc>
          <w:tcPr>
            <w:tcW w:w="1290" w:type="dxa"/>
            <w:vAlign w:val="center"/>
          </w:tcPr>
          <w:p w14:paraId="264C3B6E">
            <w:pPr>
              <w:spacing w:line="400" w:lineRule="exact"/>
              <w:jc w:val="center"/>
              <w:rPr>
                <w:rFonts w:ascii="Times New Roman" w:hAnsi="Times New Roman" w:eastAsia="仿宋_GB2312" w:cs="Times New Roman"/>
                <w:sz w:val="24"/>
                <w:szCs w:val="24"/>
              </w:rPr>
            </w:pPr>
          </w:p>
        </w:tc>
      </w:tr>
      <w:tr w14:paraId="5716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451AFF8C">
            <w:pPr>
              <w:spacing w:line="400" w:lineRule="exact"/>
              <w:jc w:val="center"/>
              <w:rPr>
                <w:rFonts w:ascii="Times New Roman" w:hAnsi="Times New Roman" w:eastAsia="仿宋_GB2312" w:cs="Times New Roman"/>
                <w:sz w:val="24"/>
                <w:szCs w:val="24"/>
              </w:rPr>
            </w:pPr>
          </w:p>
        </w:tc>
        <w:tc>
          <w:tcPr>
            <w:tcW w:w="1139" w:type="dxa"/>
            <w:vAlign w:val="center"/>
          </w:tcPr>
          <w:p w14:paraId="5D4725D2">
            <w:pPr>
              <w:spacing w:line="400" w:lineRule="exact"/>
              <w:jc w:val="center"/>
              <w:rPr>
                <w:rFonts w:ascii="Times New Roman" w:hAnsi="Times New Roman" w:eastAsia="仿宋_GB2312" w:cs="Times New Roman"/>
                <w:sz w:val="24"/>
                <w:szCs w:val="24"/>
              </w:rPr>
            </w:pPr>
          </w:p>
        </w:tc>
        <w:tc>
          <w:tcPr>
            <w:tcW w:w="1959" w:type="dxa"/>
            <w:vAlign w:val="center"/>
          </w:tcPr>
          <w:p w14:paraId="4B8A27B7">
            <w:pPr>
              <w:spacing w:line="400" w:lineRule="exact"/>
              <w:jc w:val="center"/>
              <w:rPr>
                <w:rFonts w:ascii="Times New Roman" w:hAnsi="Times New Roman" w:eastAsia="仿宋_GB2312" w:cs="Times New Roman"/>
                <w:sz w:val="24"/>
                <w:szCs w:val="24"/>
              </w:rPr>
            </w:pPr>
          </w:p>
        </w:tc>
        <w:tc>
          <w:tcPr>
            <w:tcW w:w="1905" w:type="dxa"/>
            <w:vAlign w:val="center"/>
          </w:tcPr>
          <w:p w14:paraId="7A765EED">
            <w:pPr>
              <w:spacing w:line="400" w:lineRule="exact"/>
              <w:jc w:val="center"/>
              <w:rPr>
                <w:rFonts w:ascii="Times New Roman" w:hAnsi="Times New Roman" w:eastAsia="仿宋_GB2312" w:cs="Times New Roman"/>
                <w:sz w:val="24"/>
                <w:szCs w:val="24"/>
              </w:rPr>
            </w:pPr>
          </w:p>
        </w:tc>
        <w:tc>
          <w:tcPr>
            <w:tcW w:w="1515" w:type="dxa"/>
            <w:vAlign w:val="center"/>
          </w:tcPr>
          <w:p w14:paraId="76FCBDCF">
            <w:pPr>
              <w:spacing w:line="400" w:lineRule="exact"/>
              <w:jc w:val="center"/>
              <w:rPr>
                <w:rFonts w:ascii="Times New Roman" w:hAnsi="Times New Roman" w:eastAsia="仿宋_GB2312" w:cs="Times New Roman"/>
                <w:sz w:val="24"/>
                <w:szCs w:val="24"/>
              </w:rPr>
            </w:pPr>
          </w:p>
        </w:tc>
        <w:tc>
          <w:tcPr>
            <w:tcW w:w="1380" w:type="dxa"/>
            <w:vAlign w:val="center"/>
          </w:tcPr>
          <w:p w14:paraId="0E3677EB">
            <w:pPr>
              <w:spacing w:line="400" w:lineRule="exact"/>
              <w:jc w:val="center"/>
              <w:rPr>
                <w:rFonts w:ascii="Times New Roman" w:hAnsi="Times New Roman" w:eastAsia="仿宋_GB2312" w:cs="Times New Roman"/>
                <w:sz w:val="24"/>
                <w:szCs w:val="24"/>
              </w:rPr>
            </w:pPr>
          </w:p>
        </w:tc>
        <w:tc>
          <w:tcPr>
            <w:tcW w:w="1155" w:type="dxa"/>
            <w:vAlign w:val="center"/>
          </w:tcPr>
          <w:p w14:paraId="5F91AE32">
            <w:pPr>
              <w:spacing w:line="400" w:lineRule="exact"/>
              <w:jc w:val="center"/>
              <w:rPr>
                <w:rFonts w:ascii="Times New Roman" w:hAnsi="Times New Roman" w:eastAsia="仿宋_GB2312" w:cs="Times New Roman"/>
                <w:sz w:val="24"/>
                <w:szCs w:val="24"/>
              </w:rPr>
            </w:pPr>
          </w:p>
        </w:tc>
        <w:tc>
          <w:tcPr>
            <w:tcW w:w="1020" w:type="dxa"/>
            <w:vAlign w:val="center"/>
          </w:tcPr>
          <w:p w14:paraId="28A59813">
            <w:pPr>
              <w:spacing w:line="400" w:lineRule="exact"/>
              <w:jc w:val="center"/>
              <w:rPr>
                <w:rFonts w:ascii="Times New Roman" w:hAnsi="Times New Roman" w:eastAsia="仿宋_GB2312" w:cs="Times New Roman"/>
                <w:sz w:val="24"/>
                <w:szCs w:val="24"/>
              </w:rPr>
            </w:pPr>
          </w:p>
        </w:tc>
        <w:tc>
          <w:tcPr>
            <w:tcW w:w="960" w:type="dxa"/>
            <w:vAlign w:val="center"/>
          </w:tcPr>
          <w:p w14:paraId="21F5C059">
            <w:pPr>
              <w:spacing w:line="400" w:lineRule="exact"/>
              <w:jc w:val="center"/>
              <w:rPr>
                <w:rFonts w:ascii="Times New Roman" w:hAnsi="Times New Roman" w:eastAsia="仿宋_GB2312" w:cs="Times New Roman"/>
                <w:sz w:val="24"/>
                <w:szCs w:val="24"/>
              </w:rPr>
            </w:pPr>
          </w:p>
        </w:tc>
        <w:tc>
          <w:tcPr>
            <w:tcW w:w="900" w:type="dxa"/>
            <w:vAlign w:val="center"/>
          </w:tcPr>
          <w:p w14:paraId="76107E8C">
            <w:pPr>
              <w:spacing w:line="400" w:lineRule="exact"/>
              <w:jc w:val="center"/>
              <w:rPr>
                <w:rFonts w:ascii="Times New Roman" w:hAnsi="Times New Roman" w:eastAsia="仿宋_GB2312" w:cs="Times New Roman"/>
                <w:sz w:val="24"/>
                <w:szCs w:val="24"/>
              </w:rPr>
            </w:pPr>
          </w:p>
        </w:tc>
        <w:tc>
          <w:tcPr>
            <w:tcW w:w="1290" w:type="dxa"/>
            <w:vAlign w:val="center"/>
          </w:tcPr>
          <w:p w14:paraId="16BE3F99">
            <w:pPr>
              <w:spacing w:line="400" w:lineRule="exact"/>
              <w:jc w:val="center"/>
              <w:rPr>
                <w:rFonts w:ascii="Times New Roman" w:hAnsi="Times New Roman" w:eastAsia="仿宋_GB2312" w:cs="Times New Roman"/>
                <w:sz w:val="24"/>
                <w:szCs w:val="24"/>
              </w:rPr>
            </w:pPr>
          </w:p>
        </w:tc>
      </w:tr>
      <w:tr w14:paraId="6BB5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57AE5D54">
            <w:pPr>
              <w:spacing w:line="400" w:lineRule="exact"/>
              <w:jc w:val="center"/>
              <w:rPr>
                <w:rFonts w:ascii="Times New Roman" w:hAnsi="Times New Roman" w:eastAsia="仿宋_GB2312" w:cs="Times New Roman"/>
                <w:sz w:val="24"/>
                <w:szCs w:val="24"/>
              </w:rPr>
            </w:pPr>
          </w:p>
        </w:tc>
        <w:tc>
          <w:tcPr>
            <w:tcW w:w="1139" w:type="dxa"/>
            <w:vAlign w:val="center"/>
          </w:tcPr>
          <w:p w14:paraId="57F16339">
            <w:pPr>
              <w:spacing w:line="400" w:lineRule="exact"/>
              <w:jc w:val="center"/>
              <w:rPr>
                <w:rFonts w:ascii="Times New Roman" w:hAnsi="Times New Roman" w:eastAsia="仿宋_GB2312" w:cs="Times New Roman"/>
                <w:sz w:val="24"/>
                <w:szCs w:val="24"/>
              </w:rPr>
            </w:pPr>
          </w:p>
        </w:tc>
        <w:tc>
          <w:tcPr>
            <w:tcW w:w="1959" w:type="dxa"/>
            <w:vAlign w:val="center"/>
          </w:tcPr>
          <w:p w14:paraId="6328386B">
            <w:pPr>
              <w:spacing w:line="400" w:lineRule="exact"/>
              <w:jc w:val="center"/>
              <w:rPr>
                <w:rFonts w:ascii="Times New Roman" w:hAnsi="Times New Roman" w:eastAsia="仿宋_GB2312" w:cs="Times New Roman"/>
                <w:sz w:val="24"/>
                <w:szCs w:val="24"/>
              </w:rPr>
            </w:pPr>
          </w:p>
        </w:tc>
        <w:tc>
          <w:tcPr>
            <w:tcW w:w="1905" w:type="dxa"/>
            <w:vAlign w:val="center"/>
          </w:tcPr>
          <w:p w14:paraId="773619EE">
            <w:pPr>
              <w:spacing w:line="400" w:lineRule="exact"/>
              <w:jc w:val="center"/>
              <w:rPr>
                <w:rFonts w:ascii="Times New Roman" w:hAnsi="Times New Roman" w:eastAsia="仿宋_GB2312" w:cs="Times New Roman"/>
                <w:sz w:val="24"/>
                <w:szCs w:val="24"/>
              </w:rPr>
            </w:pPr>
          </w:p>
        </w:tc>
        <w:tc>
          <w:tcPr>
            <w:tcW w:w="1515" w:type="dxa"/>
            <w:vAlign w:val="center"/>
          </w:tcPr>
          <w:p w14:paraId="44EFD8BF">
            <w:pPr>
              <w:spacing w:line="400" w:lineRule="exact"/>
              <w:jc w:val="center"/>
              <w:rPr>
                <w:rFonts w:ascii="Times New Roman" w:hAnsi="Times New Roman" w:eastAsia="仿宋_GB2312" w:cs="Times New Roman"/>
                <w:sz w:val="24"/>
                <w:szCs w:val="24"/>
              </w:rPr>
            </w:pPr>
          </w:p>
        </w:tc>
        <w:tc>
          <w:tcPr>
            <w:tcW w:w="1380" w:type="dxa"/>
            <w:vAlign w:val="center"/>
          </w:tcPr>
          <w:p w14:paraId="708073D8">
            <w:pPr>
              <w:spacing w:line="400" w:lineRule="exact"/>
              <w:jc w:val="center"/>
              <w:rPr>
                <w:rFonts w:ascii="Times New Roman" w:hAnsi="Times New Roman" w:eastAsia="仿宋_GB2312" w:cs="Times New Roman"/>
                <w:sz w:val="24"/>
                <w:szCs w:val="24"/>
              </w:rPr>
            </w:pPr>
          </w:p>
        </w:tc>
        <w:tc>
          <w:tcPr>
            <w:tcW w:w="1155" w:type="dxa"/>
            <w:vAlign w:val="center"/>
          </w:tcPr>
          <w:p w14:paraId="7050E1CD">
            <w:pPr>
              <w:spacing w:line="400" w:lineRule="exact"/>
              <w:jc w:val="center"/>
              <w:rPr>
                <w:rFonts w:ascii="Times New Roman" w:hAnsi="Times New Roman" w:eastAsia="仿宋_GB2312" w:cs="Times New Roman"/>
                <w:sz w:val="24"/>
                <w:szCs w:val="24"/>
              </w:rPr>
            </w:pPr>
          </w:p>
        </w:tc>
        <w:tc>
          <w:tcPr>
            <w:tcW w:w="1020" w:type="dxa"/>
            <w:vAlign w:val="center"/>
          </w:tcPr>
          <w:p w14:paraId="58EA10B9">
            <w:pPr>
              <w:spacing w:line="400" w:lineRule="exact"/>
              <w:jc w:val="center"/>
              <w:rPr>
                <w:rFonts w:ascii="Times New Roman" w:hAnsi="Times New Roman" w:eastAsia="仿宋_GB2312" w:cs="Times New Roman"/>
                <w:sz w:val="24"/>
                <w:szCs w:val="24"/>
              </w:rPr>
            </w:pPr>
          </w:p>
        </w:tc>
        <w:tc>
          <w:tcPr>
            <w:tcW w:w="960" w:type="dxa"/>
            <w:vAlign w:val="center"/>
          </w:tcPr>
          <w:p w14:paraId="2B86AAA8">
            <w:pPr>
              <w:spacing w:line="400" w:lineRule="exact"/>
              <w:jc w:val="center"/>
              <w:rPr>
                <w:rFonts w:ascii="Times New Roman" w:hAnsi="Times New Roman" w:eastAsia="仿宋_GB2312" w:cs="Times New Roman"/>
                <w:sz w:val="24"/>
                <w:szCs w:val="24"/>
              </w:rPr>
            </w:pPr>
          </w:p>
        </w:tc>
        <w:tc>
          <w:tcPr>
            <w:tcW w:w="900" w:type="dxa"/>
            <w:vAlign w:val="center"/>
          </w:tcPr>
          <w:p w14:paraId="3857C401">
            <w:pPr>
              <w:spacing w:line="400" w:lineRule="exact"/>
              <w:jc w:val="center"/>
              <w:rPr>
                <w:rFonts w:ascii="Times New Roman" w:hAnsi="Times New Roman" w:eastAsia="仿宋_GB2312" w:cs="Times New Roman"/>
                <w:sz w:val="24"/>
                <w:szCs w:val="24"/>
              </w:rPr>
            </w:pPr>
          </w:p>
        </w:tc>
        <w:tc>
          <w:tcPr>
            <w:tcW w:w="1290" w:type="dxa"/>
            <w:vAlign w:val="center"/>
          </w:tcPr>
          <w:p w14:paraId="0A4CEAD9">
            <w:pPr>
              <w:spacing w:line="400" w:lineRule="exact"/>
              <w:jc w:val="center"/>
              <w:rPr>
                <w:rFonts w:ascii="Times New Roman" w:hAnsi="Times New Roman" w:eastAsia="仿宋_GB2312" w:cs="Times New Roman"/>
                <w:sz w:val="24"/>
                <w:szCs w:val="24"/>
              </w:rPr>
            </w:pPr>
          </w:p>
        </w:tc>
      </w:tr>
      <w:tr w14:paraId="6766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79DC28EE">
            <w:pPr>
              <w:spacing w:line="400" w:lineRule="exact"/>
              <w:jc w:val="center"/>
              <w:rPr>
                <w:rFonts w:ascii="Times New Roman" w:hAnsi="Times New Roman" w:eastAsia="仿宋_GB2312" w:cs="Times New Roman"/>
                <w:sz w:val="24"/>
                <w:szCs w:val="24"/>
              </w:rPr>
            </w:pPr>
          </w:p>
        </w:tc>
        <w:tc>
          <w:tcPr>
            <w:tcW w:w="1139" w:type="dxa"/>
            <w:vAlign w:val="center"/>
          </w:tcPr>
          <w:p w14:paraId="72D546C0">
            <w:pPr>
              <w:spacing w:line="400" w:lineRule="exact"/>
              <w:jc w:val="center"/>
              <w:rPr>
                <w:rFonts w:ascii="Times New Roman" w:hAnsi="Times New Roman" w:eastAsia="仿宋_GB2312" w:cs="Times New Roman"/>
                <w:sz w:val="24"/>
                <w:szCs w:val="24"/>
              </w:rPr>
            </w:pPr>
          </w:p>
        </w:tc>
        <w:tc>
          <w:tcPr>
            <w:tcW w:w="1959" w:type="dxa"/>
            <w:vAlign w:val="center"/>
          </w:tcPr>
          <w:p w14:paraId="4CC940C3">
            <w:pPr>
              <w:spacing w:line="400" w:lineRule="exact"/>
              <w:jc w:val="center"/>
              <w:rPr>
                <w:rFonts w:ascii="Times New Roman" w:hAnsi="Times New Roman" w:eastAsia="仿宋_GB2312" w:cs="Times New Roman"/>
                <w:sz w:val="24"/>
                <w:szCs w:val="24"/>
              </w:rPr>
            </w:pPr>
          </w:p>
        </w:tc>
        <w:tc>
          <w:tcPr>
            <w:tcW w:w="1905" w:type="dxa"/>
            <w:vAlign w:val="center"/>
          </w:tcPr>
          <w:p w14:paraId="2324B2B9">
            <w:pPr>
              <w:spacing w:line="400" w:lineRule="exact"/>
              <w:jc w:val="center"/>
              <w:rPr>
                <w:rFonts w:ascii="Times New Roman" w:hAnsi="Times New Roman" w:eastAsia="仿宋_GB2312" w:cs="Times New Roman"/>
                <w:sz w:val="24"/>
                <w:szCs w:val="24"/>
              </w:rPr>
            </w:pPr>
          </w:p>
        </w:tc>
        <w:tc>
          <w:tcPr>
            <w:tcW w:w="1515" w:type="dxa"/>
            <w:vAlign w:val="center"/>
          </w:tcPr>
          <w:p w14:paraId="4B4AE6F7">
            <w:pPr>
              <w:spacing w:line="400" w:lineRule="exact"/>
              <w:jc w:val="center"/>
              <w:rPr>
                <w:rFonts w:ascii="Times New Roman" w:hAnsi="Times New Roman" w:eastAsia="仿宋_GB2312" w:cs="Times New Roman"/>
                <w:sz w:val="24"/>
                <w:szCs w:val="24"/>
              </w:rPr>
            </w:pPr>
          </w:p>
        </w:tc>
        <w:tc>
          <w:tcPr>
            <w:tcW w:w="1380" w:type="dxa"/>
            <w:vAlign w:val="center"/>
          </w:tcPr>
          <w:p w14:paraId="572E8E7D">
            <w:pPr>
              <w:spacing w:line="400" w:lineRule="exact"/>
              <w:jc w:val="center"/>
              <w:rPr>
                <w:rFonts w:ascii="Times New Roman" w:hAnsi="Times New Roman" w:eastAsia="仿宋_GB2312" w:cs="Times New Roman"/>
                <w:sz w:val="24"/>
                <w:szCs w:val="24"/>
              </w:rPr>
            </w:pPr>
          </w:p>
        </w:tc>
        <w:tc>
          <w:tcPr>
            <w:tcW w:w="1155" w:type="dxa"/>
            <w:vAlign w:val="center"/>
          </w:tcPr>
          <w:p w14:paraId="481E9EFA">
            <w:pPr>
              <w:spacing w:line="400" w:lineRule="exact"/>
              <w:jc w:val="center"/>
              <w:rPr>
                <w:rFonts w:ascii="Times New Roman" w:hAnsi="Times New Roman" w:eastAsia="仿宋_GB2312" w:cs="Times New Roman"/>
                <w:sz w:val="24"/>
                <w:szCs w:val="24"/>
              </w:rPr>
            </w:pPr>
          </w:p>
        </w:tc>
        <w:tc>
          <w:tcPr>
            <w:tcW w:w="1020" w:type="dxa"/>
            <w:vAlign w:val="center"/>
          </w:tcPr>
          <w:p w14:paraId="3AEA8139">
            <w:pPr>
              <w:spacing w:line="400" w:lineRule="exact"/>
              <w:jc w:val="center"/>
              <w:rPr>
                <w:rFonts w:ascii="Times New Roman" w:hAnsi="Times New Roman" w:eastAsia="仿宋_GB2312" w:cs="Times New Roman"/>
                <w:sz w:val="24"/>
                <w:szCs w:val="24"/>
              </w:rPr>
            </w:pPr>
          </w:p>
        </w:tc>
        <w:tc>
          <w:tcPr>
            <w:tcW w:w="960" w:type="dxa"/>
            <w:vAlign w:val="center"/>
          </w:tcPr>
          <w:p w14:paraId="5377A2FF">
            <w:pPr>
              <w:spacing w:line="400" w:lineRule="exact"/>
              <w:jc w:val="center"/>
              <w:rPr>
                <w:rFonts w:ascii="Times New Roman" w:hAnsi="Times New Roman" w:eastAsia="仿宋_GB2312" w:cs="Times New Roman"/>
                <w:sz w:val="24"/>
                <w:szCs w:val="24"/>
              </w:rPr>
            </w:pPr>
          </w:p>
        </w:tc>
        <w:tc>
          <w:tcPr>
            <w:tcW w:w="900" w:type="dxa"/>
            <w:vAlign w:val="center"/>
          </w:tcPr>
          <w:p w14:paraId="5F7A6A96">
            <w:pPr>
              <w:spacing w:line="400" w:lineRule="exact"/>
              <w:jc w:val="center"/>
              <w:rPr>
                <w:rFonts w:ascii="Times New Roman" w:hAnsi="Times New Roman" w:eastAsia="仿宋_GB2312" w:cs="Times New Roman"/>
                <w:sz w:val="24"/>
                <w:szCs w:val="24"/>
              </w:rPr>
            </w:pPr>
          </w:p>
        </w:tc>
        <w:tc>
          <w:tcPr>
            <w:tcW w:w="1290" w:type="dxa"/>
            <w:vAlign w:val="center"/>
          </w:tcPr>
          <w:p w14:paraId="3625B85B">
            <w:pPr>
              <w:spacing w:line="400" w:lineRule="exact"/>
              <w:jc w:val="center"/>
              <w:rPr>
                <w:rFonts w:ascii="Times New Roman" w:hAnsi="Times New Roman" w:eastAsia="仿宋_GB2312" w:cs="Times New Roman"/>
                <w:sz w:val="24"/>
                <w:szCs w:val="24"/>
              </w:rPr>
            </w:pPr>
          </w:p>
        </w:tc>
      </w:tr>
      <w:tr w14:paraId="61AD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310E3128">
            <w:pPr>
              <w:spacing w:line="400" w:lineRule="exact"/>
              <w:jc w:val="center"/>
              <w:rPr>
                <w:rFonts w:ascii="Times New Roman" w:hAnsi="Times New Roman" w:eastAsia="仿宋_GB2312" w:cs="Times New Roman"/>
                <w:sz w:val="24"/>
                <w:szCs w:val="24"/>
              </w:rPr>
            </w:pPr>
          </w:p>
        </w:tc>
        <w:tc>
          <w:tcPr>
            <w:tcW w:w="1139" w:type="dxa"/>
            <w:vAlign w:val="center"/>
          </w:tcPr>
          <w:p w14:paraId="3B1E4870">
            <w:pPr>
              <w:spacing w:line="400" w:lineRule="exact"/>
              <w:jc w:val="center"/>
              <w:rPr>
                <w:rFonts w:ascii="Times New Roman" w:hAnsi="Times New Roman" w:eastAsia="仿宋_GB2312" w:cs="Times New Roman"/>
                <w:sz w:val="24"/>
                <w:szCs w:val="24"/>
              </w:rPr>
            </w:pPr>
          </w:p>
        </w:tc>
        <w:tc>
          <w:tcPr>
            <w:tcW w:w="1959" w:type="dxa"/>
            <w:vAlign w:val="center"/>
          </w:tcPr>
          <w:p w14:paraId="1A67C142">
            <w:pPr>
              <w:spacing w:line="400" w:lineRule="exact"/>
              <w:jc w:val="center"/>
              <w:rPr>
                <w:rFonts w:ascii="Times New Roman" w:hAnsi="Times New Roman" w:eastAsia="仿宋_GB2312" w:cs="Times New Roman"/>
                <w:sz w:val="24"/>
                <w:szCs w:val="24"/>
              </w:rPr>
            </w:pPr>
          </w:p>
        </w:tc>
        <w:tc>
          <w:tcPr>
            <w:tcW w:w="1905" w:type="dxa"/>
            <w:vAlign w:val="center"/>
          </w:tcPr>
          <w:p w14:paraId="57362A00">
            <w:pPr>
              <w:spacing w:line="400" w:lineRule="exact"/>
              <w:jc w:val="center"/>
              <w:rPr>
                <w:rFonts w:ascii="Times New Roman" w:hAnsi="Times New Roman" w:eastAsia="仿宋_GB2312" w:cs="Times New Roman"/>
                <w:sz w:val="24"/>
                <w:szCs w:val="24"/>
              </w:rPr>
            </w:pPr>
          </w:p>
        </w:tc>
        <w:tc>
          <w:tcPr>
            <w:tcW w:w="1515" w:type="dxa"/>
            <w:vAlign w:val="center"/>
          </w:tcPr>
          <w:p w14:paraId="466C3948">
            <w:pPr>
              <w:spacing w:line="400" w:lineRule="exact"/>
              <w:jc w:val="center"/>
              <w:rPr>
                <w:rFonts w:ascii="Times New Roman" w:hAnsi="Times New Roman" w:eastAsia="仿宋_GB2312" w:cs="Times New Roman"/>
                <w:sz w:val="24"/>
                <w:szCs w:val="24"/>
              </w:rPr>
            </w:pPr>
          </w:p>
        </w:tc>
        <w:tc>
          <w:tcPr>
            <w:tcW w:w="1380" w:type="dxa"/>
            <w:vAlign w:val="center"/>
          </w:tcPr>
          <w:p w14:paraId="1C2B014F">
            <w:pPr>
              <w:spacing w:line="400" w:lineRule="exact"/>
              <w:jc w:val="center"/>
              <w:rPr>
                <w:rFonts w:ascii="Times New Roman" w:hAnsi="Times New Roman" w:eastAsia="仿宋_GB2312" w:cs="Times New Roman"/>
                <w:sz w:val="24"/>
                <w:szCs w:val="24"/>
              </w:rPr>
            </w:pPr>
          </w:p>
        </w:tc>
        <w:tc>
          <w:tcPr>
            <w:tcW w:w="1155" w:type="dxa"/>
            <w:vAlign w:val="center"/>
          </w:tcPr>
          <w:p w14:paraId="06EB6A8C">
            <w:pPr>
              <w:spacing w:line="400" w:lineRule="exact"/>
              <w:jc w:val="center"/>
              <w:rPr>
                <w:rFonts w:ascii="Times New Roman" w:hAnsi="Times New Roman" w:eastAsia="仿宋_GB2312" w:cs="Times New Roman"/>
                <w:sz w:val="24"/>
                <w:szCs w:val="24"/>
              </w:rPr>
            </w:pPr>
          </w:p>
        </w:tc>
        <w:tc>
          <w:tcPr>
            <w:tcW w:w="1020" w:type="dxa"/>
            <w:vAlign w:val="center"/>
          </w:tcPr>
          <w:p w14:paraId="0D54BC83">
            <w:pPr>
              <w:spacing w:line="400" w:lineRule="exact"/>
              <w:jc w:val="center"/>
              <w:rPr>
                <w:rFonts w:ascii="Times New Roman" w:hAnsi="Times New Roman" w:eastAsia="仿宋_GB2312" w:cs="Times New Roman"/>
                <w:sz w:val="24"/>
                <w:szCs w:val="24"/>
              </w:rPr>
            </w:pPr>
          </w:p>
        </w:tc>
        <w:tc>
          <w:tcPr>
            <w:tcW w:w="960" w:type="dxa"/>
            <w:vAlign w:val="center"/>
          </w:tcPr>
          <w:p w14:paraId="65D1A5C2">
            <w:pPr>
              <w:spacing w:line="400" w:lineRule="exact"/>
              <w:jc w:val="center"/>
              <w:rPr>
                <w:rFonts w:ascii="Times New Roman" w:hAnsi="Times New Roman" w:eastAsia="仿宋_GB2312" w:cs="Times New Roman"/>
                <w:sz w:val="24"/>
                <w:szCs w:val="24"/>
              </w:rPr>
            </w:pPr>
          </w:p>
        </w:tc>
        <w:tc>
          <w:tcPr>
            <w:tcW w:w="900" w:type="dxa"/>
            <w:vAlign w:val="center"/>
          </w:tcPr>
          <w:p w14:paraId="72FF8767">
            <w:pPr>
              <w:spacing w:line="400" w:lineRule="exact"/>
              <w:jc w:val="center"/>
              <w:rPr>
                <w:rFonts w:ascii="Times New Roman" w:hAnsi="Times New Roman" w:eastAsia="仿宋_GB2312" w:cs="Times New Roman"/>
                <w:sz w:val="24"/>
                <w:szCs w:val="24"/>
              </w:rPr>
            </w:pPr>
          </w:p>
        </w:tc>
        <w:tc>
          <w:tcPr>
            <w:tcW w:w="1290" w:type="dxa"/>
            <w:vAlign w:val="center"/>
          </w:tcPr>
          <w:p w14:paraId="780CC4DD">
            <w:pPr>
              <w:spacing w:line="400" w:lineRule="exact"/>
              <w:jc w:val="center"/>
              <w:rPr>
                <w:rFonts w:ascii="Times New Roman" w:hAnsi="Times New Roman" w:eastAsia="仿宋_GB2312" w:cs="Times New Roman"/>
                <w:sz w:val="24"/>
                <w:szCs w:val="24"/>
              </w:rPr>
            </w:pPr>
          </w:p>
        </w:tc>
      </w:tr>
      <w:tr w14:paraId="5B51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2CED52AA">
            <w:pPr>
              <w:spacing w:line="400" w:lineRule="exact"/>
              <w:jc w:val="center"/>
              <w:rPr>
                <w:rFonts w:ascii="Times New Roman" w:hAnsi="Times New Roman" w:eastAsia="仿宋_GB2312" w:cs="Times New Roman"/>
                <w:sz w:val="24"/>
                <w:szCs w:val="24"/>
              </w:rPr>
            </w:pPr>
          </w:p>
        </w:tc>
        <w:tc>
          <w:tcPr>
            <w:tcW w:w="1139" w:type="dxa"/>
            <w:vAlign w:val="center"/>
          </w:tcPr>
          <w:p w14:paraId="67EBC6CB">
            <w:pPr>
              <w:spacing w:line="400" w:lineRule="exact"/>
              <w:jc w:val="center"/>
              <w:rPr>
                <w:rFonts w:ascii="Times New Roman" w:hAnsi="Times New Roman" w:eastAsia="仿宋_GB2312" w:cs="Times New Roman"/>
                <w:sz w:val="24"/>
                <w:szCs w:val="24"/>
              </w:rPr>
            </w:pPr>
          </w:p>
        </w:tc>
        <w:tc>
          <w:tcPr>
            <w:tcW w:w="1959" w:type="dxa"/>
            <w:vAlign w:val="center"/>
          </w:tcPr>
          <w:p w14:paraId="3E2C6541">
            <w:pPr>
              <w:spacing w:line="400" w:lineRule="exact"/>
              <w:jc w:val="center"/>
              <w:rPr>
                <w:rFonts w:ascii="Times New Roman" w:hAnsi="Times New Roman" w:eastAsia="仿宋_GB2312" w:cs="Times New Roman"/>
                <w:sz w:val="24"/>
                <w:szCs w:val="24"/>
              </w:rPr>
            </w:pPr>
          </w:p>
        </w:tc>
        <w:tc>
          <w:tcPr>
            <w:tcW w:w="1905" w:type="dxa"/>
            <w:vAlign w:val="center"/>
          </w:tcPr>
          <w:p w14:paraId="665A0F23">
            <w:pPr>
              <w:spacing w:line="400" w:lineRule="exact"/>
              <w:jc w:val="center"/>
              <w:rPr>
                <w:rFonts w:ascii="Times New Roman" w:hAnsi="Times New Roman" w:eastAsia="仿宋_GB2312" w:cs="Times New Roman"/>
                <w:sz w:val="24"/>
                <w:szCs w:val="24"/>
              </w:rPr>
            </w:pPr>
          </w:p>
        </w:tc>
        <w:tc>
          <w:tcPr>
            <w:tcW w:w="1515" w:type="dxa"/>
            <w:vAlign w:val="center"/>
          </w:tcPr>
          <w:p w14:paraId="1C518DE9">
            <w:pPr>
              <w:spacing w:line="400" w:lineRule="exact"/>
              <w:jc w:val="center"/>
              <w:rPr>
                <w:rFonts w:ascii="Times New Roman" w:hAnsi="Times New Roman" w:eastAsia="仿宋_GB2312" w:cs="Times New Roman"/>
                <w:sz w:val="24"/>
                <w:szCs w:val="24"/>
              </w:rPr>
            </w:pPr>
          </w:p>
        </w:tc>
        <w:tc>
          <w:tcPr>
            <w:tcW w:w="1380" w:type="dxa"/>
            <w:vAlign w:val="center"/>
          </w:tcPr>
          <w:p w14:paraId="2E3096C1">
            <w:pPr>
              <w:spacing w:line="400" w:lineRule="exact"/>
              <w:jc w:val="center"/>
              <w:rPr>
                <w:rFonts w:ascii="Times New Roman" w:hAnsi="Times New Roman" w:eastAsia="仿宋_GB2312" w:cs="Times New Roman"/>
                <w:sz w:val="24"/>
                <w:szCs w:val="24"/>
              </w:rPr>
            </w:pPr>
          </w:p>
        </w:tc>
        <w:tc>
          <w:tcPr>
            <w:tcW w:w="1155" w:type="dxa"/>
            <w:vAlign w:val="center"/>
          </w:tcPr>
          <w:p w14:paraId="2E9F39D6">
            <w:pPr>
              <w:spacing w:line="400" w:lineRule="exact"/>
              <w:jc w:val="center"/>
              <w:rPr>
                <w:rFonts w:ascii="Times New Roman" w:hAnsi="Times New Roman" w:eastAsia="仿宋_GB2312" w:cs="Times New Roman"/>
                <w:sz w:val="24"/>
                <w:szCs w:val="24"/>
              </w:rPr>
            </w:pPr>
          </w:p>
        </w:tc>
        <w:tc>
          <w:tcPr>
            <w:tcW w:w="1020" w:type="dxa"/>
            <w:vAlign w:val="center"/>
          </w:tcPr>
          <w:p w14:paraId="5784BEF9">
            <w:pPr>
              <w:spacing w:line="400" w:lineRule="exact"/>
              <w:jc w:val="center"/>
              <w:rPr>
                <w:rFonts w:ascii="Times New Roman" w:hAnsi="Times New Roman" w:eastAsia="仿宋_GB2312" w:cs="Times New Roman"/>
                <w:sz w:val="24"/>
                <w:szCs w:val="24"/>
              </w:rPr>
            </w:pPr>
          </w:p>
        </w:tc>
        <w:tc>
          <w:tcPr>
            <w:tcW w:w="960" w:type="dxa"/>
            <w:vAlign w:val="center"/>
          </w:tcPr>
          <w:p w14:paraId="5EA4E7F9">
            <w:pPr>
              <w:spacing w:line="400" w:lineRule="exact"/>
              <w:jc w:val="center"/>
              <w:rPr>
                <w:rFonts w:ascii="Times New Roman" w:hAnsi="Times New Roman" w:eastAsia="仿宋_GB2312" w:cs="Times New Roman"/>
                <w:sz w:val="24"/>
                <w:szCs w:val="24"/>
              </w:rPr>
            </w:pPr>
          </w:p>
        </w:tc>
        <w:tc>
          <w:tcPr>
            <w:tcW w:w="900" w:type="dxa"/>
            <w:vAlign w:val="center"/>
          </w:tcPr>
          <w:p w14:paraId="2E3D576E">
            <w:pPr>
              <w:spacing w:line="400" w:lineRule="exact"/>
              <w:jc w:val="center"/>
              <w:rPr>
                <w:rFonts w:ascii="Times New Roman" w:hAnsi="Times New Roman" w:eastAsia="仿宋_GB2312" w:cs="Times New Roman"/>
                <w:sz w:val="24"/>
                <w:szCs w:val="24"/>
              </w:rPr>
            </w:pPr>
          </w:p>
        </w:tc>
        <w:tc>
          <w:tcPr>
            <w:tcW w:w="1290" w:type="dxa"/>
            <w:vAlign w:val="center"/>
          </w:tcPr>
          <w:p w14:paraId="74B3EB4D">
            <w:pPr>
              <w:spacing w:line="400" w:lineRule="exact"/>
              <w:jc w:val="center"/>
              <w:rPr>
                <w:rFonts w:ascii="Times New Roman" w:hAnsi="Times New Roman" w:eastAsia="仿宋_GB2312" w:cs="Times New Roman"/>
                <w:sz w:val="24"/>
                <w:szCs w:val="24"/>
              </w:rPr>
            </w:pPr>
          </w:p>
        </w:tc>
      </w:tr>
      <w:tr w14:paraId="2F7BC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5F484DE5">
            <w:pPr>
              <w:spacing w:line="400" w:lineRule="exact"/>
              <w:jc w:val="center"/>
              <w:rPr>
                <w:rFonts w:ascii="Times New Roman" w:hAnsi="Times New Roman" w:eastAsia="仿宋_GB2312" w:cs="Times New Roman"/>
                <w:sz w:val="24"/>
                <w:szCs w:val="24"/>
              </w:rPr>
            </w:pPr>
          </w:p>
        </w:tc>
        <w:tc>
          <w:tcPr>
            <w:tcW w:w="1139" w:type="dxa"/>
            <w:vAlign w:val="center"/>
          </w:tcPr>
          <w:p w14:paraId="11403391">
            <w:pPr>
              <w:spacing w:line="400" w:lineRule="exact"/>
              <w:jc w:val="center"/>
              <w:rPr>
                <w:rFonts w:ascii="Times New Roman" w:hAnsi="Times New Roman" w:eastAsia="仿宋_GB2312" w:cs="Times New Roman"/>
                <w:sz w:val="24"/>
                <w:szCs w:val="24"/>
              </w:rPr>
            </w:pPr>
          </w:p>
        </w:tc>
        <w:tc>
          <w:tcPr>
            <w:tcW w:w="1959" w:type="dxa"/>
            <w:vAlign w:val="center"/>
          </w:tcPr>
          <w:p w14:paraId="5733E78B">
            <w:pPr>
              <w:spacing w:line="400" w:lineRule="exact"/>
              <w:jc w:val="center"/>
              <w:rPr>
                <w:rFonts w:ascii="Times New Roman" w:hAnsi="Times New Roman" w:eastAsia="仿宋_GB2312" w:cs="Times New Roman"/>
                <w:sz w:val="24"/>
                <w:szCs w:val="24"/>
              </w:rPr>
            </w:pPr>
          </w:p>
        </w:tc>
        <w:tc>
          <w:tcPr>
            <w:tcW w:w="1905" w:type="dxa"/>
            <w:vAlign w:val="center"/>
          </w:tcPr>
          <w:p w14:paraId="5EF83257">
            <w:pPr>
              <w:spacing w:line="400" w:lineRule="exact"/>
              <w:jc w:val="center"/>
              <w:rPr>
                <w:rFonts w:ascii="Times New Roman" w:hAnsi="Times New Roman" w:eastAsia="仿宋_GB2312" w:cs="Times New Roman"/>
                <w:sz w:val="24"/>
                <w:szCs w:val="24"/>
              </w:rPr>
            </w:pPr>
          </w:p>
        </w:tc>
        <w:tc>
          <w:tcPr>
            <w:tcW w:w="1515" w:type="dxa"/>
            <w:vAlign w:val="center"/>
          </w:tcPr>
          <w:p w14:paraId="463F2267">
            <w:pPr>
              <w:spacing w:line="400" w:lineRule="exact"/>
              <w:jc w:val="center"/>
              <w:rPr>
                <w:rFonts w:ascii="Times New Roman" w:hAnsi="Times New Roman" w:eastAsia="仿宋_GB2312" w:cs="Times New Roman"/>
                <w:sz w:val="24"/>
                <w:szCs w:val="24"/>
              </w:rPr>
            </w:pPr>
          </w:p>
        </w:tc>
        <w:tc>
          <w:tcPr>
            <w:tcW w:w="1380" w:type="dxa"/>
            <w:vAlign w:val="center"/>
          </w:tcPr>
          <w:p w14:paraId="6CB50D80">
            <w:pPr>
              <w:spacing w:line="400" w:lineRule="exact"/>
              <w:jc w:val="center"/>
              <w:rPr>
                <w:rFonts w:ascii="Times New Roman" w:hAnsi="Times New Roman" w:eastAsia="仿宋_GB2312" w:cs="Times New Roman"/>
                <w:sz w:val="24"/>
                <w:szCs w:val="24"/>
              </w:rPr>
            </w:pPr>
          </w:p>
        </w:tc>
        <w:tc>
          <w:tcPr>
            <w:tcW w:w="1155" w:type="dxa"/>
            <w:vAlign w:val="center"/>
          </w:tcPr>
          <w:p w14:paraId="6BFAD20B">
            <w:pPr>
              <w:spacing w:line="400" w:lineRule="exact"/>
              <w:jc w:val="center"/>
              <w:rPr>
                <w:rFonts w:ascii="Times New Roman" w:hAnsi="Times New Roman" w:eastAsia="仿宋_GB2312" w:cs="Times New Roman"/>
                <w:sz w:val="24"/>
                <w:szCs w:val="24"/>
              </w:rPr>
            </w:pPr>
          </w:p>
        </w:tc>
        <w:tc>
          <w:tcPr>
            <w:tcW w:w="1020" w:type="dxa"/>
            <w:vAlign w:val="center"/>
          </w:tcPr>
          <w:p w14:paraId="7703ED25">
            <w:pPr>
              <w:spacing w:line="400" w:lineRule="exact"/>
              <w:jc w:val="center"/>
              <w:rPr>
                <w:rFonts w:ascii="Times New Roman" w:hAnsi="Times New Roman" w:eastAsia="仿宋_GB2312" w:cs="Times New Roman"/>
                <w:sz w:val="24"/>
                <w:szCs w:val="24"/>
              </w:rPr>
            </w:pPr>
          </w:p>
        </w:tc>
        <w:tc>
          <w:tcPr>
            <w:tcW w:w="960" w:type="dxa"/>
            <w:vAlign w:val="center"/>
          </w:tcPr>
          <w:p w14:paraId="47B1CC65">
            <w:pPr>
              <w:spacing w:line="400" w:lineRule="exact"/>
              <w:jc w:val="center"/>
              <w:rPr>
                <w:rFonts w:ascii="Times New Roman" w:hAnsi="Times New Roman" w:eastAsia="仿宋_GB2312" w:cs="Times New Roman"/>
                <w:sz w:val="24"/>
                <w:szCs w:val="24"/>
              </w:rPr>
            </w:pPr>
          </w:p>
        </w:tc>
        <w:tc>
          <w:tcPr>
            <w:tcW w:w="900" w:type="dxa"/>
            <w:vAlign w:val="center"/>
          </w:tcPr>
          <w:p w14:paraId="6997FC3A">
            <w:pPr>
              <w:spacing w:line="400" w:lineRule="exact"/>
              <w:jc w:val="center"/>
              <w:rPr>
                <w:rFonts w:ascii="Times New Roman" w:hAnsi="Times New Roman" w:eastAsia="仿宋_GB2312" w:cs="Times New Roman"/>
                <w:sz w:val="24"/>
                <w:szCs w:val="24"/>
              </w:rPr>
            </w:pPr>
          </w:p>
        </w:tc>
        <w:tc>
          <w:tcPr>
            <w:tcW w:w="1290" w:type="dxa"/>
            <w:vAlign w:val="center"/>
          </w:tcPr>
          <w:p w14:paraId="2B1A6EC9">
            <w:pPr>
              <w:spacing w:line="400" w:lineRule="exact"/>
              <w:jc w:val="center"/>
              <w:rPr>
                <w:rFonts w:ascii="Times New Roman" w:hAnsi="Times New Roman" w:eastAsia="仿宋_GB2312" w:cs="Times New Roman"/>
                <w:sz w:val="24"/>
                <w:szCs w:val="24"/>
              </w:rPr>
            </w:pPr>
          </w:p>
        </w:tc>
      </w:tr>
      <w:tr w14:paraId="5257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0E7BC49B">
            <w:pPr>
              <w:spacing w:line="400" w:lineRule="exact"/>
              <w:jc w:val="center"/>
              <w:rPr>
                <w:rFonts w:ascii="Times New Roman" w:hAnsi="Times New Roman" w:eastAsia="仿宋_GB2312" w:cs="Times New Roman"/>
                <w:sz w:val="24"/>
                <w:szCs w:val="24"/>
              </w:rPr>
            </w:pPr>
          </w:p>
        </w:tc>
        <w:tc>
          <w:tcPr>
            <w:tcW w:w="1139" w:type="dxa"/>
            <w:vAlign w:val="center"/>
          </w:tcPr>
          <w:p w14:paraId="040418A8">
            <w:pPr>
              <w:spacing w:line="400" w:lineRule="exact"/>
              <w:jc w:val="center"/>
              <w:rPr>
                <w:rFonts w:ascii="Times New Roman" w:hAnsi="Times New Roman" w:eastAsia="仿宋_GB2312" w:cs="Times New Roman"/>
                <w:sz w:val="24"/>
                <w:szCs w:val="24"/>
              </w:rPr>
            </w:pPr>
          </w:p>
        </w:tc>
        <w:tc>
          <w:tcPr>
            <w:tcW w:w="1959" w:type="dxa"/>
            <w:vAlign w:val="center"/>
          </w:tcPr>
          <w:p w14:paraId="6F72325D">
            <w:pPr>
              <w:spacing w:line="400" w:lineRule="exact"/>
              <w:jc w:val="center"/>
              <w:rPr>
                <w:rFonts w:ascii="Times New Roman" w:hAnsi="Times New Roman" w:eastAsia="仿宋_GB2312" w:cs="Times New Roman"/>
                <w:sz w:val="24"/>
                <w:szCs w:val="24"/>
              </w:rPr>
            </w:pPr>
          </w:p>
        </w:tc>
        <w:tc>
          <w:tcPr>
            <w:tcW w:w="1905" w:type="dxa"/>
            <w:vAlign w:val="center"/>
          </w:tcPr>
          <w:p w14:paraId="351840F4">
            <w:pPr>
              <w:spacing w:line="400" w:lineRule="exact"/>
              <w:jc w:val="center"/>
              <w:rPr>
                <w:rFonts w:ascii="Times New Roman" w:hAnsi="Times New Roman" w:eastAsia="仿宋_GB2312" w:cs="Times New Roman"/>
                <w:sz w:val="24"/>
                <w:szCs w:val="24"/>
              </w:rPr>
            </w:pPr>
          </w:p>
        </w:tc>
        <w:tc>
          <w:tcPr>
            <w:tcW w:w="1515" w:type="dxa"/>
            <w:vAlign w:val="center"/>
          </w:tcPr>
          <w:p w14:paraId="046A38C7">
            <w:pPr>
              <w:spacing w:line="400" w:lineRule="exact"/>
              <w:jc w:val="center"/>
              <w:rPr>
                <w:rFonts w:ascii="Times New Roman" w:hAnsi="Times New Roman" w:eastAsia="仿宋_GB2312" w:cs="Times New Roman"/>
                <w:sz w:val="24"/>
                <w:szCs w:val="24"/>
              </w:rPr>
            </w:pPr>
          </w:p>
        </w:tc>
        <w:tc>
          <w:tcPr>
            <w:tcW w:w="1380" w:type="dxa"/>
            <w:vAlign w:val="center"/>
          </w:tcPr>
          <w:p w14:paraId="72BE7BB9">
            <w:pPr>
              <w:spacing w:line="400" w:lineRule="exact"/>
              <w:jc w:val="center"/>
              <w:rPr>
                <w:rFonts w:ascii="Times New Roman" w:hAnsi="Times New Roman" w:eastAsia="仿宋_GB2312" w:cs="Times New Roman"/>
                <w:sz w:val="24"/>
                <w:szCs w:val="24"/>
              </w:rPr>
            </w:pPr>
          </w:p>
        </w:tc>
        <w:tc>
          <w:tcPr>
            <w:tcW w:w="1155" w:type="dxa"/>
            <w:vAlign w:val="center"/>
          </w:tcPr>
          <w:p w14:paraId="11E2EE95">
            <w:pPr>
              <w:spacing w:line="400" w:lineRule="exact"/>
              <w:jc w:val="center"/>
              <w:rPr>
                <w:rFonts w:ascii="Times New Roman" w:hAnsi="Times New Roman" w:eastAsia="仿宋_GB2312" w:cs="Times New Roman"/>
                <w:sz w:val="24"/>
                <w:szCs w:val="24"/>
              </w:rPr>
            </w:pPr>
          </w:p>
        </w:tc>
        <w:tc>
          <w:tcPr>
            <w:tcW w:w="1020" w:type="dxa"/>
            <w:vAlign w:val="center"/>
          </w:tcPr>
          <w:p w14:paraId="72F415DB">
            <w:pPr>
              <w:spacing w:line="400" w:lineRule="exact"/>
              <w:jc w:val="center"/>
              <w:rPr>
                <w:rFonts w:ascii="Times New Roman" w:hAnsi="Times New Roman" w:eastAsia="仿宋_GB2312" w:cs="Times New Roman"/>
                <w:sz w:val="24"/>
                <w:szCs w:val="24"/>
              </w:rPr>
            </w:pPr>
          </w:p>
        </w:tc>
        <w:tc>
          <w:tcPr>
            <w:tcW w:w="960" w:type="dxa"/>
            <w:vAlign w:val="center"/>
          </w:tcPr>
          <w:p w14:paraId="44F8AB2D">
            <w:pPr>
              <w:spacing w:line="400" w:lineRule="exact"/>
              <w:jc w:val="center"/>
              <w:rPr>
                <w:rFonts w:ascii="Times New Roman" w:hAnsi="Times New Roman" w:eastAsia="仿宋_GB2312" w:cs="Times New Roman"/>
                <w:sz w:val="24"/>
                <w:szCs w:val="24"/>
              </w:rPr>
            </w:pPr>
          </w:p>
        </w:tc>
        <w:tc>
          <w:tcPr>
            <w:tcW w:w="900" w:type="dxa"/>
            <w:vAlign w:val="center"/>
          </w:tcPr>
          <w:p w14:paraId="5737F7BB">
            <w:pPr>
              <w:spacing w:line="400" w:lineRule="exact"/>
              <w:jc w:val="center"/>
              <w:rPr>
                <w:rFonts w:ascii="Times New Roman" w:hAnsi="Times New Roman" w:eastAsia="仿宋_GB2312" w:cs="Times New Roman"/>
                <w:sz w:val="24"/>
                <w:szCs w:val="24"/>
              </w:rPr>
            </w:pPr>
          </w:p>
        </w:tc>
        <w:tc>
          <w:tcPr>
            <w:tcW w:w="1290" w:type="dxa"/>
            <w:vAlign w:val="center"/>
          </w:tcPr>
          <w:p w14:paraId="38AB85C3">
            <w:pPr>
              <w:spacing w:line="400" w:lineRule="exact"/>
              <w:jc w:val="center"/>
              <w:rPr>
                <w:rFonts w:ascii="Times New Roman" w:hAnsi="Times New Roman" w:eastAsia="仿宋_GB2312" w:cs="Times New Roman"/>
                <w:sz w:val="24"/>
                <w:szCs w:val="24"/>
              </w:rPr>
            </w:pPr>
          </w:p>
        </w:tc>
      </w:tr>
      <w:tr w14:paraId="2FCF7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323CAF24">
            <w:pPr>
              <w:spacing w:line="400" w:lineRule="exact"/>
              <w:jc w:val="center"/>
              <w:rPr>
                <w:rFonts w:ascii="Times New Roman" w:hAnsi="Times New Roman" w:eastAsia="仿宋_GB2312" w:cs="Times New Roman"/>
                <w:sz w:val="24"/>
                <w:szCs w:val="24"/>
              </w:rPr>
            </w:pPr>
          </w:p>
        </w:tc>
        <w:tc>
          <w:tcPr>
            <w:tcW w:w="1139" w:type="dxa"/>
            <w:vAlign w:val="center"/>
          </w:tcPr>
          <w:p w14:paraId="7CA05377">
            <w:pPr>
              <w:spacing w:line="400" w:lineRule="exact"/>
              <w:jc w:val="center"/>
              <w:rPr>
                <w:rFonts w:ascii="Times New Roman" w:hAnsi="Times New Roman" w:eastAsia="仿宋_GB2312" w:cs="Times New Roman"/>
                <w:sz w:val="24"/>
                <w:szCs w:val="24"/>
              </w:rPr>
            </w:pPr>
          </w:p>
        </w:tc>
        <w:tc>
          <w:tcPr>
            <w:tcW w:w="1959" w:type="dxa"/>
            <w:vAlign w:val="center"/>
          </w:tcPr>
          <w:p w14:paraId="5832DC55">
            <w:pPr>
              <w:spacing w:line="400" w:lineRule="exact"/>
              <w:jc w:val="center"/>
              <w:rPr>
                <w:rFonts w:ascii="Times New Roman" w:hAnsi="Times New Roman" w:eastAsia="仿宋_GB2312" w:cs="Times New Roman"/>
                <w:sz w:val="24"/>
                <w:szCs w:val="24"/>
              </w:rPr>
            </w:pPr>
          </w:p>
        </w:tc>
        <w:tc>
          <w:tcPr>
            <w:tcW w:w="1905" w:type="dxa"/>
            <w:vAlign w:val="center"/>
          </w:tcPr>
          <w:p w14:paraId="3F3E9EC0">
            <w:pPr>
              <w:spacing w:line="400" w:lineRule="exact"/>
              <w:jc w:val="center"/>
              <w:rPr>
                <w:rFonts w:ascii="Times New Roman" w:hAnsi="Times New Roman" w:eastAsia="仿宋_GB2312" w:cs="Times New Roman"/>
                <w:sz w:val="24"/>
                <w:szCs w:val="24"/>
              </w:rPr>
            </w:pPr>
          </w:p>
        </w:tc>
        <w:tc>
          <w:tcPr>
            <w:tcW w:w="1515" w:type="dxa"/>
            <w:vAlign w:val="center"/>
          </w:tcPr>
          <w:p w14:paraId="38E624B9">
            <w:pPr>
              <w:spacing w:line="400" w:lineRule="exact"/>
              <w:jc w:val="center"/>
              <w:rPr>
                <w:rFonts w:ascii="Times New Roman" w:hAnsi="Times New Roman" w:eastAsia="仿宋_GB2312" w:cs="Times New Roman"/>
                <w:sz w:val="24"/>
                <w:szCs w:val="24"/>
              </w:rPr>
            </w:pPr>
          </w:p>
        </w:tc>
        <w:tc>
          <w:tcPr>
            <w:tcW w:w="1380" w:type="dxa"/>
            <w:vAlign w:val="center"/>
          </w:tcPr>
          <w:p w14:paraId="41C1EDB0">
            <w:pPr>
              <w:spacing w:line="400" w:lineRule="exact"/>
              <w:jc w:val="center"/>
              <w:rPr>
                <w:rFonts w:ascii="Times New Roman" w:hAnsi="Times New Roman" w:eastAsia="仿宋_GB2312" w:cs="Times New Roman"/>
                <w:sz w:val="24"/>
                <w:szCs w:val="24"/>
              </w:rPr>
            </w:pPr>
          </w:p>
        </w:tc>
        <w:tc>
          <w:tcPr>
            <w:tcW w:w="1155" w:type="dxa"/>
            <w:vAlign w:val="center"/>
          </w:tcPr>
          <w:p w14:paraId="3149B954">
            <w:pPr>
              <w:spacing w:line="400" w:lineRule="exact"/>
              <w:jc w:val="center"/>
              <w:rPr>
                <w:rFonts w:ascii="Times New Roman" w:hAnsi="Times New Roman" w:eastAsia="仿宋_GB2312" w:cs="Times New Roman"/>
                <w:sz w:val="24"/>
                <w:szCs w:val="24"/>
              </w:rPr>
            </w:pPr>
          </w:p>
        </w:tc>
        <w:tc>
          <w:tcPr>
            <w:tcW w:w="1020" w:type="dxa"/>
            <w:vAlign w:val="center"/>
          </w:tcPr>
          <w:p w14:paraId="492A5D5C">
            <w:pPr>
              <w:spacing w:line="400" w:lineRule="exact"/>
              <w:jc w:val="center"/>
              <w:rPr>
                <w:rFonts w:ascii="Times New Roman" w:hAnsi="Times New Roman" w:eastAsia="仿宋_GB2312" w:cs="Times New Roman"/>
                <w:sz w:val="24"/>
                <w:szCs w:val="24"/>
              </w:rPr>
            </w:pPr>
          </w:p>
        </w:tc>
        <w:tc>
          <w:tcPr>
            <w:tcW w:w="960" w:type="dxa"/>
            <w:vAlign w:val="center"/>
          </w:tcPr>
          <w:p w14:paraId="376E346A">
            <w:pPr>
              <w:spacing w:line="400" w:lineRule="exact"/>
              <w:jc w:val="center"/>
              <w:rPr>
                <w:rFonts w:ascii="Times New Roman" w:hAnsi="Times New Roman" w:eastAsia="仿宋_GB2312" w:cs="Times New Roman"/>
                <w:sz w:val="24"/>
                <w:szCs w:val="24"/>
              </w:rPr>
            </w:pPr>
          </w:p>
        </w:tc>
        <w:tc>
          <w:tcPr>
            <w:tcW w:w="900" w:type="dxa"/>
            <w:vAlign w:val="center"/>
          </w:tcPr>
          <w:p w14:paraId="4F391221">
            <w:pPr>
              <w:spacing w:line="400" w:lineRule="exact"/>
              <w:jc w:val="center"/>
              <w:rPr>
                <w:rFonts w:ascii="Times New Roman" w:hAnsi="Times New Roman" w:eastAsia="仿宋_GB2312" w:cs="Times New Roman"/>
                <w:sz w:val="24"/>
                <w:szCs w:val="24"/>
              </w:rPr>
            </w:pPr>
          </w:p>
        </w:tc>
        <w:tc>
          <w:tcPr>
            <w:tcW w:w="1290" w:type="dxa"/>
            <w:vAlign w:val="center"/>
          </w:tcPr>
          <w:p w14:paraId="7F8B3A33">
            <w:pPr>
              <w:spacing w:line="400" w:lineRule="exact"/>
              <w:jc w:val="center"/>
              <w:rPr>
                <w:rFonts w:ascii="Times New Roman" w:hAnsi="Times New Roman" w:eastAsia="仿宋_GB2312" w:cs="Times New Roman"/>
                <w:sz w:val="24"/>
                <w:szCs w:val="24"/>
              </w:rPr>
            </w:pPr>
          </w:p>
        </w:tc>
      </w:tr>
      <w:tr w14:paraId="44D0E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418E0AA5">
            <w:pPr>
              <w:spacing w:line="400" w:lineRule="exact"/>
              <w:jc w:val="center"/>
              <w:rPr>
                <w:rFonts w:ascii="Times New Roman" w:hAnsi="Times New Roman" w:eastAsia="仿宋_GB2312" w:cs="Times New Roman"/>
                <w:sz w:val="24"/>
                <w:szCs w:val="24"/>
              </w:rPr>
            </w:pPr>
          </w:p>
        </w:tc>
        <w:tc>
          <w:tcPr>
            <w:tcW w:w="1139" w:type="dxa"/>
            <w:vAlign w:val="center"/>
          </w:tcPr>
          <w:p w14:paraId="553E4978">
            <w:pPr>
              <w:spacing w:line="400" w:lineRule="exact"/>
              <w:jc w:val="center"/>
              <w:rPr>
                <w:rFonts w:ascii="Times New Roman" w:hAnsi="Times New Roman" w:eastAsia="仿宋_GB2312" w:cs="Times New Roman"/>
                <w:sz w:val="24"/>
                <w:szCs w:val="24"/>
              </w:rPr>
            </w:pPr>
          </w:p>
        </w:tc>
        <w:tc>
          <w:tcPr>
            <w:tcW w:w="1959" w:type="dxa"/>
            <w:vAlign w:val="center"/>
          </w:tcPr>
          <w:p w14:paraId="20C58FFF">
            <w:pPr>
              <w:spacing w:line="400" w:lineRule="exact"/>
              <w:jc w:val="center"/>
              <w:rPr>
                <w:rFonts w:ascii="Times New Roman" w:hAnsi="Times New Roman" w:eastAsia="仿宋_GB2312" w:cs="Times New Roman"/>
                <w:sz w:val="24"/>
                <w:szCs w:val="24"/>
              </w:rPr>
            </w:pPr>
          </w:p>
        </w:tc>
        <w:tc>
          <w:tcPr>
            <w:tcW w:w="1905" w:type="dxa"/>
            <w:vAlign w:val="center"/>
          </w:tcPr>
          <w:p w14:paraId="723A97C3">
            <w:pPr>
              <w:spacing w:line="400" w:lineRule="exact"/>
              <w:jc w:val="center"/>
              <w:rPr>
                <w:rFonts w:ascii="Times New Roman" w:hAnsi="Times New Roman" w:eastAsia="仿宋_GB2312" w:cs="Times New Roman"/>
                <w:sz w:val="24"/>
                <w:szCs w:val="24"/>
              </w:rPr>
            </w:pPr>
          </w:p>
        </w:tc>
        <w:tc>
          <w:tcPr>
            <w:tcW w:w="1515" w:type="dxa"/>
            <w:vAlign w:val="center"/>
          </w:tcPr>
          <w:p w14:paraId="335559FB">
            <w:pPr>
              <w:spacing w:line="400" w:lineRule="exact"/>
              <w:jc w:val="center"/>
              <w:rPr>
                <w:rFonts w:ascii="Times New Roman" w:hAnsi="Times New Roman" w:eastAsia="仿宋_GB2312" w:cs="Times New Roman"/>
                <w:sz w:val="24"/>
                <w:szCs w:val="24"/>
              </w:rPr>
            </w:pPr>
          </w:p>
        </w:tc>
        <w:tc>
          <w:tcPr>
            <w:tcW w:w="1380" w:type="dxa"/>
            <w:vAlign w:val="center"/>
          </w:tcPr>
          <w:p w14:paraId="53290AAB">
            <w:pPr>
              <w:spacing w:line="400" w:lineRule="exact"/>
              <w:jc w:val="center"/>
              <w:rPr>
                <w:rFonts w:ascii="Times New Roman" w:hAnsi="Times New Roman" w:eastAsia="仿宋_GB2312" w:cs="Times New Roman"/>
                <w:sz w:val="24"/>
                <w:szCs w:val="24"/>
              </w:rPr>
            </w:pPr>
          </w:p>
        </w:tc>
        <w:tc>
          <w:tcPr>
            <w:tcW w:w="1155" w:type="dxa"/>
            <w:vAlign w:val="center"/>
          </w:tcPr>
          <w:p w14:paraId="30E4D38B">
            <w:pPr>
              <w:spacing w:line="400" w:lineRule="exact"/>
              <w:jc w:val="center"/>
              <w:rPr>
                <w:rFonts w:ascii="Times New Roman" w:hAnsi="Times New Roman" w:eastAsia="仿宋_GB2312" w:cs="Times New Roman"/>
                <w:sz w:val="24"/>
                <w:szCs w:val="24"/>
              </w:rPr>
            </w:pPr>
          </w:p>
        </w:tc>
        <w:tc>
          <w:tcPr>
            <w:tcW w:w="1020" w:type="dxa"/>
            <w:vAlign w:val="center"/>
          </w:tcPr>
          <w:p w14:paraId="2058F253">
            <w:pPr>
              <w:spacing w:line="400" w:lineRule="exact"/>
              <w:jc w:val="center"/>
              <w:rPr>
                <w:rFonts w:ascii="Times New Roman" w:hAnsi="Times New Roman" w:eastAsia="仿宋_GB2312" w:cs="Times New Roman"/>
                <w:sz w:val="24"/>
                <w:szCs w:val="24"/>
              </w:rPr>
            </w:pPr>
          </w:p>
        </w:tc>
        <w:tc>
          <w:tcPr>
            <w:tcW w:w="960" w:type="dxa"/>
            <w:vAlign w:val="center"/>
          </w:tcPr>
          <w:p w14:paraId="1484F8A5">
            <w:pPr>
              <w:spacing w:line="400" w:lineRule="exact"/>
              <w:jc w:val="center"/>
              <w:rPr>
                <w:rFonts w:ascii="Times New Roman" w:hAnsi="Times New Roman" w:eastAsia="仿宋_GB2312" w:cs="Times New Roman"/>
                <w:sz w:val="24"/>
                <w:szCs w:val="24"/>
              </w:rPr>
            </w:pPr>
          </w:p>
        </w:tc>
        <w:tc>
          <w:tcPr>
            <w:tcW w:w="900" w:type="dxa"/>
            <w:vAlign w:val="center"/>
          </w:tcPr>
          <w:p w14:paraId="465B0ECA">
            <w:pPr>
              <w:spacing w:line="400" w:lineRule="exact"/>
              <w:jc w:val="center"/>
              <w:rPr>
                <w:rFonts w:ascii="Times New Roman" w:hAnsi="Times New Roman" w:eastAsia="仿宋_GB2312" w:cs="Times New Roman"/>
                <w:sz w:val="24"/>
                <w:szCs w:val="24"/>
              </w:rPr>
            </w:pPr>
          </w:p>
        </w:tc>
        <w:tc>
          <w:tcPr>
            <w:tcW w:w="1290" w:type="dxa"/>
            <w:vAlign w:val="center"/>
          </w:tcPr>
          <w:p w14:paraId="67BB2591">
            <w:pPr>
              <w:spacing w:line="400" w:lineRule="exact"/>
              <w:jc w:val="center"/>
              <w:rPr>
                <w:rFonts w:ascii="Times New Roman" w:hAnsi="Times New Roman" w:eastAsia="仿宋_GB2312" w:cs="Times New Roman"/>
                <w:sz w:val="24"/>
                <w:szCs w:val="24"/>
              </w:rPr>
            </w:pPr>
          </w:p>
        </w:tc>
      </w:tr>
      <w:tr w14:paraId="5680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3B87F63F">
            <w:pPr>
              <w:spacing w:line="400" w:lineRule="exact"/>
              <w:jc w:val="center"/>
              <w:rPr>
                <w:rFonts w:ascii="Times New Roman" w:hAnsi="Times New Roman" w:eastAsia="仿宋_GB2312" w:cs="Times New Roman"/>
                <w:sz w:val="24"/>
                <w:szCs w:val="24"/>
              </w:rPr>
            </w:pPr>
          </w:p>
        </w:tc>
        <w:tc>
          <w:tcPr>
            <w:tcW w:w="1139" w:type="dxa"/>
            <w:vAlign w:val="center"/>
          </w:tcPr>
          <w:p w14:paraId="61414AF8">
            <w:pPr>
              <w:spacing w:line="400" w:lineRule="exact"/>
              <w:jc w:val="center"/>
              <w:rPr>
                <w:rFonts w:ascii="Times New Roman" w:hAnsi="Times New Roman" w:eastAsia="仿宋_GB2312" w:cs="Times New Roman"/>
                <w:sz w:val="24"/>
                <w:szCs w:val="24"/>
              </w:rPr>
            </w:pPr>
          </w:p>
        </w:tc>
        <w:tc>
          <w:tcPr>
            <w:tcW w:w="1959" w:type="dxa"/>
            <w:vAlign w:val="center"/>
          </w:tcPr>
          <w:p w14:paraId="52BF441D">
            <w:pPr>
              <w:spacing w:line="400" w:lineRule="exact"/>
              <w:jc w:val="center"/>
              <w:rPr>
                <w:rFonts w:ascii="Times New Roman" w:hAnsi="Times New Roman" w:eastAsia="仿宋_GB2312" w:cs="Times New Roman"/>
                <w:sz w:val="24"/>
                <w:szCs w:val="24"/>
              </w:rPr>
            </w:pPr>
          </w:p>
        </w:tc>
        <w:tc>
          <w:tcPr>
            <w:tcW w:w="1905" w:type="dxa"/>
            <w:vAlign w:val="center"/>
          </w:tcPr>
          <w:p w14:paraId="51FFF491">
            <w:pPr>
              <w:spacing w:line="400" w:lineRule="exact"/>
              <w:jc w:val="center"/>
              <w:rPr>
                <w:rFonts w:ascii="Times New Roman" w:hAnsi="Times New Roman" w:eastAsia="仿宋_GB2312" w:cs="Times New Roman"/>
                <w:sz w:val="24"/>
                <w:szCs w:val="24"/>
              </w:rPr>
            </w:pPr>
          </w:p>
        </w:tc>
        <w:tc>
          <w:tcPr>
            <w:tcW w:w="1515" w:type="dxa"/>
            <w:vAlign w:val="center"/>
          </w:tcPr>
          <w:p w14:paraId="6B91730A">
            <w:pPr>
              <w:spacing w:line="400" w:lineRule="exact"/>
              <w:jc w:val="center"/>
              <w:rPr>
                <w:rFonts w:ascii="Times New Roman" w:hAnsi="Times New Roman" w:eastAsia="仿宋_GB2312" w:cs="Times New Roman"/>
                <w:sz w:val="24"/>
                <w:szCs w:val="24"/>
              </w:rPr>
            </w:pPr>
          </w:p>
        </w:tc>
        <w:tc>
          <w:tcPr>
            <w:tcW w:w="1380" w:type="dxa"/>
            <w:vAlign w:val="center"/>
          </w:tcPr>
          <w:p w14:paraId="4846B641">
            <w:pPr>
              <w:spacing w:line="400" w:lineRule="exact"/>
              <w:jc w:val="center"/>
              <w:rPr>
                <w:rFonts w:ascii="Times New Roman" w:hAnsi="Times New Roman" w:eastAsia="仿宋_GB2312" w:cs="Times New Roman"/>
                <w:sz w:val="24"/>
                <w:szCs w:val="24"/>
              </w:rPr>
            </w:pPr>
          </w:p>
        </w:tc>
        <w:tc>
          <w:tcPr>
            <w:tcW w:w="1155" w:type="dxa"/>
            <w:vAlign w:val="center"/>
          </w:tcPr>
          <w:p w14:paraId="79924E83">
            <w:pPr>
              <w:spacing w:line="400" w:lineRule="exact"/>
              <w:jc w:val="center"/>
              <w:rPr>
                <w:rFonts w:ascii="Times New Roman" w:hAnsi="Times New Roman" w:eastAsia="仿宋_GB2312" w:cs="Times New Roman"/>
                <w:sz w:val="24"/>
                <w:szCs w:val="24"/>
              </w:rPr>
            </w:pPr>
          </w:p>
        </w:tc>
        <w:tc>
          <w:tcPr>
            <w:tcW w:w="1020" w:type="dxa"/>
            <w:vAlign w:val="center"/>
          </w:tcPr>
          <w:p w14:paraId="3727EB3B">
            <w:pPr>
              <w:spacing w:line="400" w:lineRule="exact"/>
              <w:jc w:val="center"/>
              <w:rPr>
                <w:rFonts w:ascii="Times New Roman" w:hAnsi="Times New Roman" w:eastAsia="仿宋_GB2312" w:cs="Times New Roman"/>
                <w:sz w:val="24"/>
                <w:szCs w:val="24"/>
              </w:rPr>
            </w:pPr>
          </w:p>
        </w:tc>
        <w:tc>
          <w:tcPr>
            <w:tcW w:w="960" w:type="dxa"/>
            <w:vAlign w:val="center"/>
          </w:tcPr>
          <w:p w14:paraId="56BA1655">
            <w:pPr>
              <w:spacing w:line="400" w:lineRule="exact"/>
              <w:jc w:val="center"/>
              <w:rPr>
                <w:rFonts w:ascii="Times New Roman" w:hAnsi="Times New Roman" w:eastAsia="仿宋_GB2312" w:cs="Times New Roman"/>
                <w:sz w:val="24"/>
                <w:szCs w:val="24"/>
              </w:rPr>
            </w:pPr>
          </w:p>
        </w:tc>
        <w:tc>
          <w:tcPr>
            <w:tcW w:w="900" w:type="dxa"/>
            <w:vAlign w:val="center"/>
          </w:tcPr>
          <w:p w14:paraId="3EAA60AC">
            <w:pPr>
              <w:spacing w:line="400" w:lineRule="exact"/>
              <w:jc w:val="center"/>
              <w:rPr>
                <w:rFonts w:ascii="Times New Roman" w:hAnsi="Times New Roman" w:eastAsia="仿宋_GB2312" w:cs="Times New Roman"/>
                <w:sz w:val="24"/>
                <w:szCs w:val="24"/>
              </w:rPr>
            </w:pPr>
          </w:p>
        </w:tc>
        <w:tc>
          <w:tcPr>
            <w:tcW w:w="1290" w:type="dxa"/>
            <w:vAlign w:val="center"/>
          </w:tcPr>
          <w:p w14:paraId="4F6526DB">
            <w:pPr>
              <w:spacing w:line="400" w:lineRule="exact"/>
              <w:jc w:val="center"/>
              <w:rPr>
                <w:rFonts w:ascii="Times New Roman" w:hAnsi="Times New Roman" w:eastAsia="仿宋_GB2312" w:cs="Times New Roman"/>
                <w:sz w:val="24"/>
                <w:szCs w:val="24"/>
              </w:rPr>
            </w:pPr>
          </w:p>
        </w:tc>
      </w:tr>
      <w:tr w14:paraId="2324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14:paraId="453E0A10">
            <w:pPr>
              <w:spacing w:line="400" w:lineRule="exact"/>
              <w:jc w:val="center"/>
              <w:rPr>
                <w:rFonts w:ascii="Times New Roman" w:hAnsi="Times New Roman" w:eastAsia="仿宋_GB2312" w:cs="Times New Roman"/>
                <w:sz w:val="24"/>
                <w:szCs w:val="24"/>
              </w:rPr>
            </w:pPr>
          </w:p>
        </w:tc>
        <w:tc>
          <w:tcPr>
            <w:tcW w:w="1139" w:type="dxa"/>
            <w:vAlign w:val="center"/>
          </w:tcPr>
          <w:p w14:paraId="30384142">
            <w:pPr>
              <w:spacing w:line="400" w:lineRule="exact"/>
              <w:jc w:val="center"/>
              <w:rPr>
                <w:rFonts w:ascii="Times New Roman" w:hAnsi="Times New Roman" w:eastAsia="仿宋_GB2312" w:cs="Times New Roman"/>
                <w:sz w:val="24"/>
                <w:szCs w:val="24"/>
              </w:rPr>
            </w:pPr>
          </w:p>
        </w:tc>
        <w:tc>
          <w:tcPr>
            <w:tcW w:w="1959" w:type="dxa"/>
            <w:vAlign w:val="center"/>
          </w:tcPr>
          <w:p w14:paraId="68E41045">
            <w:pPr>
              <w:spacing w:line="400" w:lineRule="exact"/>
              <w:jc w:val="center"/>
              <w:rPr>
                <w:rFonts w:ascii="Times New Roman" w:hAnsi="Times New Roman" w:eastAsia="仿宋_GB2312" w:cs="Times New Roman"/>
                <w:sz w:val="24"/>
                <w:szCs w:val="24"/>
              </w:rPr>
            </w:pPr>
          </w:p>
        </w:tc>
        <w:tc>
          <w:tcPr>
            <w:tcW w:w="1905" w:type="dxa"/>
            <w:vAlign w:val="center"/>
          </w:tcPr>
          <w:p w14:paraId="2F4E221E">
            <w:pPr>
              <w:spacing w:line="400" w:lineRule="exact"/>
              <w:jc w:val="center"/>
              <w:rPr>
                <w:rFonts w:ascii="Times New Roman" w:hAnsi="Times New Roman" w:eastAsia="仿宋_GB2312" w:cs="Times New Roman"/>
                <w:sz w:val="24"/>
                <w:szCs w:val="24"/>
              </w:rPr>
            </w:pPr>
          </w:p>
        </w:tc>
        <w:tc>
          <w:tcPr>
            <w:tcW w:w="1515" w:type="dxa"/>
            <w:vAlign w:val="center"/>
          </w:tcPr>
          <w:p w14:paraId="2EB27338">
            <w:pPr>
              <w:spacing w:line="400" w:lineRule="exact"/>
              <w:jc w:val="center"/>
              <w:rPr>
                <w:rFonts w:ascii="Times New Roman" w:hAnsi="Times New Roman" w:eastAsia="仿宋_GB2312" w:cs="Times New Roman"/>
                <w:sz w:val="24"/>
                <w:szCs w:val="24"/>
              </w:rPr>
            </w:pPr>
          </w:p>
        </w:tc>
        <w:tc>
          <w:tcPr>
            <w:tcW w:w="1380" w:type="dxa"/>
            <w:vAlign w:val="center"/>
          </w:tcPr>
          <w:p w14:paraId="505EDA91">
            <w:pPr>
              <w:spacing w:line="400" w:lineRule="exact"/>
              <w:jc w:val="center"/>
              <w:rPr>
                <w:rFonts w:ascii="Times New Roman" w:hAnsi="Times New Roman" w:eastAsia="仿宋_GB2312" w:cs="Times New Roman"/>
                <w:sz w:val="24"/>
                <w:szCs w:val="24"/>
              </w:rPr>
            </w:pPr>
          </w:p>
        </w:tc>
        <w:tc>
          <w:tcPr>
            <w:tcW w:w="1155" w:type="dxa"/>
            <w:vAlign w:val="center"/>
          </w:tcPr>
          <w:p w14:paraId="78E6EB1E">
            <w:pPr>
              <w:spacing w:line="400" w:lineRule="exact"/>
              <w:jc w:val="center"/>
              <w:rPr>
                <w:rFonts w:ascii="Times New Roman" w:hAnsi="Times New Roman" w:eastAsia="仿宋_GB2312" w:cs="Times New Roman"/>
                <w:sz w:val="24"/>
                <w:szCs w:val="24"/>
              </w:rPr>
            </w:pPr>
          </w:p>
        </w:tc>
        <w:tc>
          <w:tcPr>
            <w:tcW w:w="1020" w:type="dxa"/>
            <w:vAlign w:val="center"/>
          </w:tcPr>
          <w:p w14:paraId="31416991">
            <w:pPr>
              <w:spacing w:line="400" w:lineRule="exact"/>
              <w:jc w:val="center"/>
              <w:rPr>
                <w:rFonts w:ascii="Times New Roman" w:hAnsi="Times New Roman" w:eastAsia="仿宋_GB2312" w:cs="Times New Roman"/>
                <w:sz w:val="24"/>
                <w:szCs w:val="24"/>
              </w:rPr>
            </w:pPr>
          </w:p>
        </w:tc>
        <w:tc>
          <w:tcPr>
            <w:tcW w:w="960" w:type="dxa"/>
            <w:vAlign w:val="center"/>
          </w:tcPr>
          <w:p w14:paraId="6F621E89">
            <w:pPr>
              <w:spacing w:line="400" w:lineRule="exact"/>
              <w:jc w:val="center"/>
              <w:rPr>
                <w:rFonts w:ascii="Times New Roman" w:hAnsi="Times New Roman" w:eastAsia="仿宋_GB2312" w:cs="Times New Roman"/>
                <w:sz w:val="24"/>
                <w:szCs w:val="24"/>
              </w:rPr>
            </w:pPr>
          </w:p>
        </w:tc>
        <w:tc>
          <w:tcPr>
            <w:tcW w:w="900" w:type="dxa"/>
            <w:vAlign w:val="center"/>
          </w:tcPr>
          <w:p w14:paraId="3423AA3E">
            <w:pPr>
              <w:spacing w:line="400" w:lineRule="exact"/>
              <w:jc w:val="center"/>
              <w:rPr>
                <w:rFonts w:ascii="Times New Roman" w:hAnsi="Times New Roman" w:eastAsia="仿宋_GB2312" w:cs="Times New Roman"/>
                <w:sz w:val="24"/>
                <w:szCs w:val="24"/>
              </w:rPr>
            </w:pPr>
          </w:p>
        </w:tc>
        <w:tc>
          <w:tcPr>
            <w:tcW w:w="1290" w:type="dxa"/>
            <w:vAlign w:val="center"/>
          </w:tcPr>
          <w:p w14:paraId="5404C5A7">
            <w:pPr>
              <w:spacing w:line="400" w:lineRule="exact"/>
              <w:jc w:val="center"/>
              <w:rPr>
                <w:rFonts w:ascii="Times New Roman" w:hAnsi="Times New Roman" w:eastAsia="仿宋_GB2312" w:cs="Times New Roman"/>
                <w:sz w:val="24"/>
                <w:szCs w:val="24"/>
              </w:rPr>
            </w:pPr>
          </w:p>
        </w:tc>
      </w:tr>
    </w:tbl>
    <w:p w14:paraId="499C5CB1">
      <w:pPr>
        <w:spacing w:line="600" w:lineRule="exact"/>
        <w:jc w:val="both"/>
        <w:rPr>
          <w:rFonts w:hint="default" w:ascii="Times New Roman" w:hAnsi="Times New Roman" w:eastAsia="仿宋_GB2312" w:cs="Times New Roman"/>
          <w:sz w:val="32"/>
          <w:szCs w:val="32"/>
          <w:lang w:val="en-US" w:eastAsia="zh-CN"/>
        </w:rPr>
        <w:sectPr>
          <w:headerReference r:id="rId7" w:type="default"/>
          <w:footerReference r:id="rId8" w:type="default"/>
          <w:pgSz w:w="16838" w:h="11905" w:orient="landscape"/>
          <w:pgMar w:top="1134" w:right="1587" w:bottom="850" w:left="1587" w:header="0" w:footer="981" w:gutter="0"/>
          <w:pgNumType w:fmt="numberInDash"/>
          <w:cols w:space="0" w:num="1"/>
          <w:rtlGutter w:val="0"/>
          <w:docGrid w:linePitch="0" w:charSpace="0"/>
        </w:sectPr>
      </w:pPr>
      <w:r>
        <w:rPr>
          <w:rFonts w:hint="eastAsia" w:ascii="Times New Roman" w:hAnsi="Times New Roman" w:eastAsia="仿宋_GB2312" w:cs="Times New Roman"/>
          <w:sz w:val="32"/>
          <w:szCs w:val="32"/>
          <w:lang w:val="en-US" w:eastAsia="zh-CN"/>
        </w:rPr>
        <w:t>注：此表只填报需乘公交车去丰林学校上学的学生情况。</w:t>
      </w:r>
    </w:p>
    <w:p w14:paraId="412BD1D0">
      <w:pPr>
        <w:spacing w:line="600" w:lineRule="exact"/>
        <w:jc w:val="both"/>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w:t>
      </w:r>
      <w:r>
        <w:rPr>
          <w:rFonts w:hint="eastAsia" w:ascii="黑体" w:hAnsi="黑体" w:eastAsia="黑体" w:cs="黑体"/>
          <w:sz w:val="32"/>
          <w:szCs w:val="32"/>
        </w:rPr>
        <w:t>2</w:t>
      </w:r>
    </w:p>
    <w:p w14:paraId="6044ED40">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6"/>
          <w:szCs w:val="36"/>
          <w:lang w:val="en-US" w:eastAsia="zh-CN"/>
        </w:rPr>
        <w:t>德安县聂桥学校、高塘学校</w:t>
      </w:r>
      <w:r>
        <w:rPr>
          <w:rFonts w:hint="eastAsia" w:ascii="方正小标宋简体" w:hAnsi="方正小标宋简体" w:eastAsia="方正小标宋简体" w:cs="方正小标宋简体"/>
          <w:sz w:val="36"/>
          <w:szCs w:val="36"/>
        </w:rPr>
        <w:t>学生需乘坐交通安排及经费保障</w:t>
      </w:r>
      <w:r>
        <w:rPr>
          <w:rFonts w:hint="eastAsia" w:ascii="方正小标宋简体" w:hAnsi="方正小标宋简体" w:eastAsia="方正小标宋简体" w:cs="方正小标宋简体"/>
          <w:sz w:val="36"/>
          <w:szCs w:val="36"/>
          <w:lang w:val="en-US" w:eastAsia="zh-CN"/>
        </w:rPr>
        <w:t>表</w:t>
      </w:r>
    </w:p>
    <w:tbl>
      <w:tblPr>
        <w:tblStyle w:val="18"/>
        <w:tblW w:w="13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3105"/>
        <w:gridCol w:w="1391"/>
        <w:gridCol w:w="1774"/>
        <w:gridCol w:w="2133"/>
        <w:gridCol w:w="2221"/>
        <w:gridCol w:w="2171"/>
      </w:tblGrid>
      <w:tr w14:paraId="64EFD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063" w:type="dxa"/>
            <w:vAlign w:val="center"/>
          </w:tcPr>
          <w:p w14:paraId="7C7A664C">
            <w:pPr>
              <w:pStyle w:val="19"/>
              <w:widowControl w:val="0"/>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乡镇</w:t>
            </w:r>
          </w:p>
        </w:tc>
        <w:tc>
          <w:tcPr>
            <w:tcW w:w="3105" w:type="dxa"/>
            <w:vAlign w:val="center"/>
          </w:tcPr>
          <w:p w14:paraId="7BBFEB79">
            <w:pPr>
              <w:pStyle w:val="19"/>
              <w:widowControl w:val="0"/>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优化网点</w:t>
            </w:r>
          </w:p>
        </w:tc>
        <w:tc>
          <w:tcPr>
            <w:tcW w:w="1391" w:type="dxa"/>
            <w:vAlign w:val="center"/>
          </w:tcPr>
          <w:p w14:paraId="681A80A9">
            <w:pPr>
              <w:pStyle w:val="19"/>
              <w:widowControl w:val="0"/>
              <w:ind w:left="238" w:right="209" w:hanging="11"/>
              <w:jc w:val="center"/>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秋季学期</w:t>
            </w:r>
            <w:r>
              <w:rPr>
                <w:rFonts w:ascii="Times New Roman" w:hAnsi="Times New Roman" w:eastAsia="仿宋_GB2312" w:cs="Times New Roman"/>
                <w:b/>
                <w:bCs/>
                <w:sz w:val="24"/>
                <w:szCs w:val="24"/>
              </w:rPr>
              <w:t>在校</w:t>
            </w:r>
            <w:r>
              <w:rPr>
                <w:rFonts w:ascii="Times New Roman" w:hAnsi="Times New Roman" w:eastAsia="仿宋_GB2312" w:cs="Times New Roman"/>
                <w:sz w:val="24"/>
                <w:szCs w:val="24"/>
              </w:rPr>
              <w:t xml:space="preserve"> </w:t>
            </w:r>
            <w:r>
              <w:rPr>
                <w:rFonts w:ascii="Times New Roman" w:hAnsi="Times New Roman" w:eastAsia="仿宋_GB2312" w:cs="Times New Roman"/>
                <w:b/>
                <w:bCs/>
                <w:sz w:val="24"/>
                <w:szCs w:val="24"/>
              </w:rPr>
              <w:t>学生数</w:t>
            </w:r>
          </w:p>
        </w:tc>
        <w:tc>
          <w:tcPr>
            <w:tcW w:w="1774" w:type="dxa"/>
            <w:vAlign w:val="center"/>
          </w:tcPr>
          <w:p w14:paraId="09FE7FA2">
            <w:pPr>
              <w:pStyle w:val="19"/>
              <w:widowControl w:val="0"/>
              <w:ind w:left="205" w:right="186" w:firstLine="7"/>
              <w:jc w:val="center"/>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需</w:t>
            </w:r>
            <w:r>
              <w:rPr>
                <w:rFonts w:ascii="Times New Roman" w:hAnsi="Times New Roman" w:eastAsia="仿宋_GB2312" w:cs="Times New Roman"/>
                <w:b/>
                <w:bCs/>
                <w:sz w:val="24"/>
                <w:szCs w:val="24"/>
              </w:rPr>
              <w:t>交通服务人数</w:t>
            </w:r>
          </w:p>
        </w:tc>
        <w:tc>
          <w:tcPr>
            <w:tcW w:w="2133" w:type="dxa"/>
            <w:vAlign w:val="center"/>
          </w:tcPr>
          <w:p w14:paraId="156DE379">
            <w:pPr>
              <w:pStyle w:val="19"/>
              <w:widowControl w:val="0"/>
              <w:ind w:left="348" w:right="319"/>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交通方式</w:t>
            </w:r>
          </w:p>
        </w:tc>
        <w:tc>
          <w:tcPr>
            <w:tcW w:w="2221" w:type="dxa"/>
            <w:vAlign w:val="center"/>
          </w:tcPr>
          <w:p w14:paraId="07F2334C">
            <w:pPr>
              <w:pStyle w:val="19"/>
              <w:widowControl w:val="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一学年</w:t>
            </w:r>
            <w:r>
              <w:rPr>
                <w:rFonts w:ascii="Times New Roman" w:hAnsi="Times New Roman" w:eastAsia="仿宋_GB2312" w:cs="Times New Roman"/>
                <w:b/>
                <w:bCs/>
                <w:sz w:val="24"/>
                <w:szCs w:val="24"/>
              </w:rPr>
              <w:t>交通费用</w:t>
            </w:r>
          </w:p>
          <w:p w14:paraId="32E5F440">
            <w:pPr>
              <w:pStyle w:val="19"/>
              <w:widowControl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b/>
                <w:bCs/>
                <w:sz w:val="24"/>
                <w:szCs w:val="24"/>
                <w:lang w:val="en-US" w:eastAsia="zh-CN"/>
              </w:rPr>
              <w:t>测算数（元）</w:t>
            </w:r>
          </w:p>
        </w:tc>
        <w:tc>
          <w:tcPr>
            <w:tcW w:w="2171" w:type="dxa"/>
            <w:vAlign w:val="center"/>
          </w:tcPr>
          <w:p w14:paraId="5CAD82A4">
            <w:pPr>
              <w:pStyle w:val="19"/>
              <w:widowControl w:val="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财政需</w:t>
            </w:r>
            <w:r>
              <w:rPr>
                <w:rFonts w:ascii="Times New Roman" w:hAnsi="Times New Roman" w:eastAsia="仿宋_GB2312" w:cs="Times New Roman"/>
                <w:b/>
                <w:bCs/>
                <w:sz w:val="24"/>
                <w:szCs w:val="24"/>
              </w:rPr>
              <w:t>投入</w:t>
            </w:r>
          </w:p>
          <w:p w14:paraId="360F8A33">
            <w:pPr>
              <w:pStyle w:val="19"/>
              <w:widowControl w:val="0"/>
              <w:jc w:val="center"/>
              <w:rPr>
                <w:rFonts w:hint="eastAsia" w:ascii="Times New Roman" w:hAnsi="Times New Roman" w:eastAsia="仿宋_GB2312" w:cs="Times New Roman"/>
                <w:b/>
                <w:bCs/>
                <w:sz w:val="24"/>
                <w:szCs w:val="24"/>
                <w:lang w:val="en-US" w:eastAsia="zh-CN"/>
              </w:rPr>
            </w:pPr>
            <w:r>
              <w:rPr>
                <w:rFonts w:ascii="Times New Roman" w:hAnsi="Times New Roman" w:eastAsia="仿宋_GB2312" w:cs="Times New Roman"/>
                <w:b/>
                <w:bCs/>
                <w:sz w:val="24"/>
                <w:szCs w:val="24"/>
              </w:rPr>
              <w:t>保障</w:t>
            </w:r>
            <w:r>
              <w:rPr>
                <w:rFonts w:hint="eastAsia" w:ascii="Times New Roman" w:hAnsi="Times New Roman" w:eastAsia="仿宋_GB2312" w:cs="Times New Roman"/>
                <w:b/>
                <w:bCs/>
                <w:sz w:val="24"/>
                <w:szCs w:val="24"/>
                <w:lang w:val="en-US" w:eastAsia="zh-CN"/>
              </w:rPr>
              <w:t>经费</w:t>
            </w:r>
          </w:p>
          <w:p w14:paraId="415CFCF1">
            <w:pPr>
              <w:pStyle w:val="19"/>
              <w:widowControl w:val="0"/>
              <w:jc w:val="center"/>
              <w:rPr>
                <w:rFonts w:hint="eastAsia"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元/年</w:t>
            </w:r>
            <w:r>
              <w:rPr>
                <w:rFonts w:hint="eastAsia" w:ascii="Times New Roman" w:hAnsi="Times New Roman" w:eastAsia="仿宋_GB2312" w:cs="Times New Roman"/>
                <w:b/>
                <w:bCs/>
                <w:sz w:val="24"/>
                <w:szCs w:val="24"/>
                <w:lang w:eastAsia="zh-CN"/>
              </w:rPr>
              <w:t>）</w:t>
            </w:r>
          </w:p>
        </w:tc>
      </w:tr>
      <w:tr w14:paraId="6E1FE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64F7AD04">
            <w:pPr>
              <w:widowControl w:val="0"/>
              <w:spacing w:line="600" w:lineRule="exact"/>
              <w:jc w:val="center"/>
              <w:rPr>
                <w:rFonts w:hint="default" w:ascii="Times New Roman" w:hAnsi="Times New Roman" w:eastAsia="仿宋_GB2312" w:cs="Times New Roman"/>
                <w:sz w:val="24"/>
                <w:szCs w:val="24"/>
                <w:lang w:val="en-US" w:eastAsia="zh-CN"/>
              </w:rPr>
            </w:pPr>
          </w:p>
        </w:tc>
        <w:tc>
          <w:tcPr>
            <w:tcW w:w="3105" w:type="dxa"/>
          </w:tcPr>
          <w:p w14:paraId="11222C07">
            <w:pPr>
              <w:widowControl w:val="0"/>
              <w:spacing w:line="600" w:lineRule="exact"/>
              <w:jc w:val="center"/>
              <w:rPr>
                <w:rFonts w:hint="default" w:ascii="Times New Roman" w:hAnsi="Times New Roman" w:eastAsia="仿宋_GB2312" w:cs="Times New Roman"/>
                <w:sz w:val="24"/>
                <w:szCs w:val="24"/>
                <w:lang w:val="en-US" w:eastAsia="zh-CN"/>
              </w:rPr>
            </w:pPr>
          </w:p>
        </w:tc>
        <w:tc>
          <w:tcPr>
            <w:tcW w:w="1391" w:type="dxa"/>
          </w:tcPr>
          <w:p w14:paraId="78ACE591">
            <w:pPr>
              <w:widowControl w:val="0"/>
              <w:spacing w:line="600" w:lineRule="exact"/>
              <w:jc w:val="center"/>
              <w:rPr>
                <w:rFonts w:hint="default" w:ascii="Times New Roman" w:hAnsi="Times New Roman" w:eastAsia="仿宋_GB2312" w:cs="Times New Roman"/>
                <w:sz w:val="24"/>
                <w:szCs w:val="24"/>
                <w:lang w:val="en-US" w:eastAsia="zh-CN"/>
              </w:rPr>
            </w:pPr>
          </w:p>
        </w:tc>
        <w:tc>
          <w:tcPr>
            <w:tcW w:w="1774" w:type="dxa"/>
          </w:tcPr>
          <w:p w14:paraId="3D52788E">
            <w:pPr>
              <w:widowControl w:val="0"/>
              <w:spacing w:line="600" w:lineRule="exact"/>
              <w:jc w:val="center"/>
              <w:rPr>
                <w:rFonts w:ascii="Times New Roman" w:hAnsi="Times New Roman" w:eastAsia="仿宋_GB2312" w:cs="Times New Roman"/>
                <w:sz w:val="24"/>
                <w:szCs w:val="24"/>
              </w:rPr>
            </w:pPr>
          </w:p>
        </w:tc>
        <w:tc>
          <w:tcPr>
            <w:tcW w:w="2133" w:type="dxa"/>
          </w:tcPr>
          <w:p w14:paraId="31DF23DC">
            <w:pPr>
              <w:widowControl w:val="0"/>
              <w:spacing w:line="600" w:lineRule="exact"/>
              <w:jc w:val="center"/>
              <w:rPr>
                <w:rFonts w:hint="default" w:ascii="Times New Roman" w:hAnsi="Times New Roman" w:eastAsia="仿宋_GB2312" w:cs="Times New Roman"/>
                <w:sz w:val="24"/>
                <w:szCs w:val="24"/>
                <w:lang w:val="en-US" w:eastAsia="zh-CN"/>
              </w:rPr>
            </w:pPr>
          </w:p>
        </w:tc>
        <w:tc>
          <w:tcPr>
            <w:tcW w:w="2221" w:type="dxa"/>
          </w:tcPr>
          <w:p w14:paraId="22242068">
            <w:pPr>
              <w:widowControl w:val="0"/>
              <w:spacing w:line="600" w:lineRule="exact"/>
              <w:jc w:val="center"/>
              <w:rPr>
                <w:rFonts w:ascii="Times New Roman" w:hAnsi="Times New Roman" w:eastAsia="仿宋_GB2312" w:cs="Times New Roman"/>
                <w:sz w:val="24"/>
                <w:szCs w:val="24"/>
              </w:rPr>
            </w:pPr>
          </w:p>
        </w:tc>
        <w:tc>
          <w:tcPr>
            <w:tcW w:w="2171" w:type="dxa"/>
          </w:tcPr>
          <w:p w14:paraId="3D955723">
            <w:pPr>
              <w:widowControl w:val="0"/>
              <w:spacing w:line="600" w:lineRule="exact"/>
              <w:jc w:val="center"/>
              <w:rPr>
                <w:rFonts w:ascii="Times New Roman" w:hAnsi="Times New Roman" w:eastAsia="仿宋_GB2312" w:cs="Times New Roman"/>
                <w:sz w:val="24"/>
                <w:szCs w:val="24"/>
              </w:rPr>
            </w:pPr>
          </w:p>
        </w:tc>
      </w:tr>
      <w:tr w14:paraId="66A8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676223FA">
            <w:pPr>
              <w:widowControl w:val="0"/>
              <w:spacing w:line="600" w:lineRule="exact"/>
              <w:jc w:val="center"/>
              <w:rPr>
                <w:rFonts w:ascii="Times New Roman" w:hAnsi="Times New Roman" w:eastAsia="仿宋_GB2312" w:cs="Times New Roman"/>
                <w:sz w:val="24"/>
                <w:szCs w:val="24"/>
              </w:rPr>
            </w:pPr>
          </w:p>
        </w:tc>
        <w:tc>
          <w:tcPr>
            <w:tcW w:w="3105" w:type="dxa"/>
          </w:tcPr>
          <w:p w14:paraId="58FF1F1A">
            <w:pPr>
              <w:widowControl w:val="0"/>
              <w:spacing w:line="600" w:lineRule="exact"/>
              <w:jc w:val="center"/>
              <w:rPr>
                <w:rFonts w:hint="default" w:ascii="Times New Roman" w:hAnsi="Times New Roman" w:eastAsia="仿宋_GB2312" w:cs="Times New Roman"/>
                <w:sz w:val="24"/>
                <w:szCs w:val="24"/>
                <w:lang w:val="en-US" w:eastAsia="zh-CN"/>
              </w:rPr>
            </w:pPr>
          </w:p>
        </w:tc>
        <w:tc>
          <w:tcPr>
            <w:tcW w:w="1391" w:type="dxa"/>
          </w:tcPr>
          <w:p w14:paraId="7DFFF27A">
            <w:pPr>
              <w:widowControl w:val="0"/>
              <w:spacing w:line="600" w:lineRule="exact"/>
              <w:jc w:val="center"/>
              <w:rPr>
                <w:rFonts w:hint="default" w:ascii="Times New Roman" w:hAnsi="Times New Roman" w:eastAsia="仿宋_GB2312" w:cs="Times New Roman"/>
                <w:sz w:val="24"/>
                <w:szCs w:val="24"/>
                <w:lang w:val="en-US" w:eastAsia="zh-CN"/>
              </w:rPr>
            </w:pPr>
          </w:p>
        </w:tc>
        <w:tc>
          <w:tcPr>
            <w:tcW w:w="1774" w:type="dxa"/>
          </w:tcPr>
          <w:p w14:paraId="5C399AFD">
            <w:pPr>
              <w:widowControl w:val="0"/>
              <w:spacing w:line="600" w:lineRule="exact"/>
              <w:jc w:val="center"/>
              <w:rPr>
                <w:rFonts w:ascii="Times New Roman" w:hAnsi="Times New Roman" w:eastAsia="仿宋_GB2312" w:cs="Times New Roman"/>
                <w:sz w:val="24"/>
                <w:szCs w:val="24"/>
              </w:rPr>
            </w:pPr>
          </w:p>
        </w:tc>
        <w:tc>
          <w:tcPr>
            <w:tcW w:w="2133" w:type="dxa"/>
          </w:tcPr>
          <w:p w14:paraId="331D181F">
            <w:pPr>
              <w:widowControl w:val="0"/>
              <w:spacing w:line="600" w:lineRule="exact"/>
              <w:jc w:val="center"/>
              <w:rPr>
                <w:rFonts w:ascii="Times New Roman" w:hAnsi="Times New Roman" w:eastAsia="仿宋_GB2312" w:cs="Times New Roman"/>
                <w:sz w:val="24"/>
                <w:szCs w:val="24"/>
              </w:rPr>
            </w:pPr>
          </w:p>
        </w:tc>
        <w:tc>
          <w:tcPr>
            <w:tcW w:w="2221" w:type="dxa"/>
          </w:tcPr>
          <w:p w14:paraId="3C765116">
            <w:pPr>
              <w:widowControl w:val="0"/>
              <w:spacing w:line="600" w:lineRule="exact"/>
              <w:jc w:val="center"/>
              <w:rPr>
                <w:rFonts w:ascii="Times New Roman" w:hAnsi="Times New Roman" w:eastAsia="仿宋_GB2312" w:cs="Times New Roman"/>
                <w:sz w:val="24"/>
                <w:szCs w:val="24"/>
              </w:rPr>
            </w:pPr>
          </w:p>
        </w:tc>
        <w:tc>
          <w:tcPr>
            <w:tcW w:w="2171" w:type="dxa"/>
          </w:tcPr>
          <w:p w14:paraId="67F5E08A">
            <w:pPr>
              <w:widowControl w:val="0"/>
              <w:spacing w:line="600" w:lineRule="exact"/>
              <w:jc w:val="center"/>
              <w:rPr>
                <w:rFonts w:ascii="Times New Roman" w:hAnsi="Times New Roman" w:eastAsia="仿宋_GB2312" w:cs="Times New Roman"/>
                <w:sz w:val="24"/>
                <w:szCs w:val="24"/>
              </w:rPr>
            </w:pPr>
          </w:p>
        </w:tc>
      </w:tr>
      <w:tr w14:paraId="351E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65021F90">
            <w:pPr>
              <w:widowControl w:val="0"/>
              <w:spacing w:line="600" w:lineRule="exact"/>
              <w:jc w:val="both"/>
              <w:rPr>
                <w:rFonts w:ascii="Times New Roman" w:hAnsi="Times New Roman" w:eastAsia="仿宋_GB2312" w:cs="Times New Roman"/>
                <w:sz w:val="24"/>
                <w:szCs w:val="24"/>
              </w:rPr>
            </w:pPr>
          </w:p>
        </w:tc>
        <w:tc>
          <w:tcPr>
            <w:tcW w:w="3105" w:type="dxa"/>
          </w:tcPr>
          <w:p w14:paraId="55D3695F">
            <w:pPr>
              <w:widowControl w:val="0"/>
              <w:spacing w:line="600" w:lineRule="exact"/>
              <w:jc w:val="both"/>
              <w:rPr>
                <w:rFonts w:ascii="Times New Roman" w:hAnsi="Times New Roman" w:eastAsia="仿宋_GB2312" w:cs="Times New Roman"/>
                <w:sz w:val="24"/>
                <w:szCs w:val="24"/>
              </w:rPr>
            </w:pPr>
          </w:p>
        </w:tc>
        <w:tc>
          <w:tcPr>
            <w:tcW w:w="1391" w:type="dxa"/>
          </w:tcPr>
          <w:p w14:paraId="2E3769A1">
            <w:pPr>
              <w:widowControl w:val="0"/>
              <w:spacing w:line="600" w:lineRule="exact"/>
              <w:jc w:val="both"/>
              <w:rPr>
                <w:rFonts w:ascii="Times New Roman" w:hAnsi="Times New Roman" w:eastAsia="仿宋_GB2312" w:cs="Times New Roman"/>
                <w:sz w:val="24"/>
                <w:szCs w:val="24"/>
              </w:rPr>
            </w:pPr>
          </w:p>
        </w:tc>
        <w:tc>
          <w:tcPr>
            <w:tcW w:w="1774" w:type="dxa"/>
          </w:tcPr>
          <w:p w14:paraId="353FB118">
            <w:pPr>
              <w:widowControl w:val="0"/>
              <w:spacing w:line="600" w:lineRule="exact"/>
              <w:jc w:val="both"/>
              <w:rPr>
                <w:rFonts w:ascii="Times New Roman" w:hAnsi="Times New Roman" w:eastAsia="仿宋_GB2312" w:cs="Times New Roman"/>
                <w:sz w:val="24"/>
                <w:szCs w:val="24"/>
              </w:rPr>
            </w:pPr>
          </w:p>
        </w:tc>
        <w:tc>
          <w:tcPr>
            <w:tcW w:w="2133" w:type="dxa"/>
          </w:tcPr>
          <w:p w14:paraId="4302A814">
            <w:pPr>
              <w:widowControl w:val="0"/>
              <w:spacing w:line="600" w:lineRule="exact"/>
              <w:jc w:val="both"/>
              <w:rPr>
                <w:rFonts w:ascii="Times New Roman" w:hAnsi="Times New Roman" w:eastAsia="仿宋_GB2312" w:cs="Times New Roman"/>
                <w:sz w:val="24"/>
                <w:szCs w:val="24"/>
              </w:rPr>
            </w:pPr>
          </w:p>
        </w:tc>
        <w:tc>
          <w:tcPr>
            <w:tcW w:w="2221" w:type="dxa"/>
          </w:tcPr>
          <w:p w14:paraId="3CA9860B">
            <w:pPr>
              <w:widowControl w:val="0"/>
              <w:spacing w:line="600" w:lineRule="exact"/>
              <w:jc w:val="both"/>
              <w:rPr>
                <w:rFonts w:ascii="Times New Roman" w:hAnsi="Times New Roman" w:eastAsia="仿宋_GB2312" w:cs="Times New Roman"/>
                <w:sz w:val="24"/>
                <w:szCs w:val="24"/>
              </w:rPr>
            </w:pPr>
          </w:p>
        </w:tc>
        <w:tc>
          <w:tcPr>
            <w:tcW w:w="2171" w:type="dxa"/>
          </w:tcPr>
          <w:p w14:paraId="1B08F856">
            <w:pPr>
              <w:widowControl w:val="0"/>
              <w:spacing w:line="600" w:lineRule="exact"/>
              <w:jc w:val="both"/>
              <w:rPr>
                <w:rFonts w:ascii="Times New Roman" w:hAnsi="Times New Roman" w:eastAsia="仿宋_GB2312" w:cs="Times New Roman"/>
                <w:sz w:val="24"/>
                <w:szCs w:val="24"/>
              </w:rPr>
            </w:pPr>
          </w:p>
        </w:tc>
      </w:tr>
      <w:tr w14:paraId="1958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4D7EFD1C">
            <w:pPr>
              <w:widowControl w:val="0"/>
              <w:spacing w:line="600" w:lineRule="exact"/>
              <w:jc w:val="both"/>
              <w:rPr>
                <w:rFonts w:ascii="Times New Roman" w:hAnsi="Times New Roman" w:eastAsia="仿宋_GB2312" w:cs="Times New Roman"/>
                <w:sz w:val="24"/>
                <w:szCs w:val="24"/>
              </w:rPr>
            </w:pPr>
          </w:p>
        </w:tc>
        <w:tc>
          <w:tcPr>
            <w:tcW w:w="3105" w:type="dxa"/>
          </w:tcPr>
          <w:p w14:paraId="54748AC7">
            <w:pPr>
              <w:widowControl w:val="0"/>
              <w:spacing w:line="600" w:lineRule="exact"/>
              <w:jc w:val="both"/>
              <w:rPr>
                <w:rFonts w:ascii="Times New Roman" w:hAnsi="Times New Roman" w:eastAsia="仿宋_GB2312" w:cs="Times New Roman"/>
                <w:sz w:val="24"/>
                <w:szCs w:val="24"/>
              </w:rPr>
            </w:pPr>
          </w:p>
        </w:tc>
        <w:tc>
          <w:tcPr>
            <w:tcW w:w="1391" w:type="dxa"/>
          </w:tcPr>
          <w:p w14:paraId="39599099">
            <w:pPr>
              <w:widowControl w:val="0"/>
              <w:spacing w:line="600" w:lineRule="exact"/>
              <w:jc w:val="both"/>
              <w:rPr>
                <w:rFonts w:ascii="Times New Roman" w:hAnsi="Times New Roman" w:eastAsia="仿宋_GB2312" w:cs="Times New Roman"/>
                <w:sz w:val="24"/>
                <w:szCs w:val="24"/>
              </w:rPr>
            </w:pPr>
          </w:p>
        </w:tc>
        <w:tc>
          <w:tcPr>
            <w:tcW w:w="1774" w:type="dxa"/>
          </w:tcPr>
          <w:p w14:paraId="408F1800">
            <w:pPr>
              <w:widowControl w:val="0"/>
              <w:spacing w:line="600" w:lineRule="exact"/>
              <w:jc w:val="both"/>
              <w:rPr>
                <w:rFonts w:ascii="Times New Roman" w:hAnsi="Times New Roman" w:eastAsia="仿宋_GB2312" w:cs="Times New Roman"/>
                <w:sz w:val="24"/>
                <w:szCs w:val="24"/>
              </w:rPr>
            </w:pPr>
          </w:p>
        </w:tc>
        <w:tc>
          <w:tcPr>
            <w:tcW w:w="2133" w:type="dxa"/>
          </w:tcPr>
          <w:p w14:paraId="047BAB94">
            <w:pPr>
              <w:widowControl w:val="0"/>
              <w:spacing w:line="600" w:lineRule="exact"/>
              <w:jc w:val="both"/>
              <w:rPr>
                <w:rFonts w:ascii="Times New Roman" w:hAnsi="Times New Roman" w:eastAsia="仿宋_GB2312" w:cs="Times New Roman"/>
                <w:sz w:val="24"/>
                <w:szCs w:val="24"/>
              </w:rPr>
            </w:pPr>
          </w:p>
        </w:tc>
        <w:tc>
          <w:tcPr>
            <w:tcW w:w="2221" w:type="dxa"/>
          </w:tcPr>
          <w:p w14:paraId="225ECB2D">
            <w:pPr>
              <w:widowControl w:val="0"/>
              <w:spacing w:line="600" w:lineRule="exact"/>
              <w:jc w:val="both"/>
              <w:rPr>
                <w:rFonts w:ascii="Times New Roman" w:hAnsi="Times New Roman" w:eastAsia="仿宋_GB2312" w:cs="Times New Roman"/>
                <w:sz w:val="24"/>
                <w:szCs w:val="24"/>
              </w:rPr>
            </w:pPr>
          </w:p>
        </w:tc>
        <w:tc>
          <w:tcPr>
            <w:tcW w:w="2171" w:type="dxa"/>
          </w:tcPr>
          <w:p w14:paraId="7A447090">
            <w:pPr>
              <w:widowControl w:val="0"/>
              <w:spacing w:line="600" w:lineRule="exact"/>
              <w:jc w:val="both"/>
              <w:rPr>
                <w:rFonts w:ascii="Times New Roman" w:hAnsi="Times New Roman" w:eastAsia="仿宋_GB2312" w:cs="Times New Roman"/>
                <w:sz w:val="24"/>
                <w:szCs w:val="24"/>
              </w:rPr>
            </w:pPr>
          </w:p>
        </w:tc>
      </w:tr>
      <w:tr w14:paraId="7493A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3553AF0D">
            <w:pPr>
              <w:widowControl w:val="0"/>
              <w:spacing w:line="600" w:lineRule="exact"/>
              <w:jc w:val="both"/>
              <w:rPr>
                <w:rFonts w:ascii="Times New Roman" w:hAnsi="Times New Roman" w:eastAsia="仿宋_GB2312" w:cs="Times New Roman"/>
                <w:sz w:val="24"/>
                <w:szCs w:val="24"/>
              </w:rPr>
            </w:pPr>
          </w:p>
        </w:tc>
        <w:tc>
          <w:tcPr>
            <w:tcW w:w="3105" w:type="dxa"/>
          </w:tcPr>
          <w:p w14:paraId="17021E9E">
            <w:pPr>
              <w:widowControl w:val="0"/>
              <w:spacing w:line="600" w:lineRule="exact"/>
              <w:jc w:val="both"/>
              <w:rPr>
                <w:rFonts w:ascii="Times New Roman" w:hAnsi="Times New Roman" w:eastAsia="仿宋_GB2312" w:cs="Times New Roman"/>
                <w:sz w:val="24"/>
                <w:szCs w:val="24"/>
              </w:rPr>
            </w:pPr>
          </w:p>
        </w:tc>
        <w:tc>
          <w:tcPr>
            <w:tcW w:w="1391" w:type="dxa"/>
          </w:tcPr>
          <w:p w14:paraId="76450696">
            <w:pPr>
              <w:widowControl w:val="0"/>
              <w:spacing w:line="600" w:lineRule="exact"/>
              <w:jc w:val="both"/>
              <w:rPr>
                <w:rFonts w:ascii="Times New Roman" w:hAnsi="Times New Roman" w:eastAsia="仿宋_GB2312" w:cs="Times New Roman"/>
                <w:sz w:val="24"/>
                <w:szCs w:val="24"/>
              </w:rPr>
            </w:pPr>
          </w:p>
        </w:tc>
        <w:tc>
          <w:tcPr>
            <w:tcW w:w="1774" w:type="dxa"/>
          </w:tcPr>
          <w:p w14:paraId="60125894">
            <w:pPr>
              <w:widowControl w:val="0"/>
              <w:spacing w:line="600" w:lineRule="exact"/>
              <w:jc w:val="both"/>
              <w:rPr>
                <w:rFonts w:ascii="Times New Roman" w:hAnsi="Times New Roman" w:eastAsia="仿宋_GB2312" w:cs="Times New Roman"/>
                <w:sz w:val="24"/>
                <w:szCs w:val="24"/>
              </w:rPr>
            </w:pPr>
          </w:p>
        </w:tc>
        <w:tc>
          <w:tcPr>
            <w:tcW w:w="2133" w:type="dxa"/>
          </w:tcPr>
          <w:p w14:paraId="2E6B1B69">
            <w:pPr>
              <w:widowControl w:val="0"/>
              <w:spacing w:line="600" w:lineRule="exact"/>
              <w:jc w:val="both"/>
              <w:rPr>
                <w:rFonts w:ascii="Times New Roman" w:hAnsi="Times New Roman" w:eastAsia="仿宋_GB2312" w:cs="Times New Roman"/>
                <w:sz w:val="24"/>
                <w:szCs w:val="24"/>
              </w:rPr>
            </w:pPr>
          </w:p>
        </w:tc>
        <w:tc>
          <w:tcPr>
            <w:tcW w:w="2221" w:type="dxa"/>
          </w:tcPr>
          <w:p w14:paraId="1A3DD817">
            <w:pPr>
              <w:widowControl w:val="0"/>
              <w:spacing w:line="600" w:lineRule="exact"/>
              <w:jc w:val="both"/>
              <w:rPr>
                <w:rFonts w:ascii="Times New Roman" w:hAnsi="Times New Roman" w:eastAsia="仿宋_GB2312" w:cs="Times New Roman"/>
                <w:sz w:val="24"/>
                <w:szCs w:val="24"/>
              </w:rPr>
            </w:pPr>
          </w:p>
        </w:tc>
        <w:tc>
          <w:tcPr>
            <w:tcW w:w="2171" w:type="dxa"/>
          </w:tcPr>
          <w:p w14:paraId="4419B265">
            <w:pPr>
              <w:widowControl w:val="0"/>
              <w:spacing w:line="600" w:lineRule="exact"/>
              <w:jc w:val="both"/>
              <w:rPr>
                <w:rFonts w:ascii="Times New Roman" w:hAnsi="Times New Roman" w:eastAsia="仿宋_GB2312" w:cs="Times New Roman"/>
                <w:sz w:val="24"/>
                <w:szCs w:val="24"/>
              </w:rPr>
            </w:pPr>
          </w:p>
        </w:tc>
      </w:tr>
      <w:tr w14:paraId="4185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66F20318">
            <w:pPr>
              <w:widowControl w:val="0"/>
              <w:spacing w:line="600" w:lineRule="exact"/>
              <w:jc w:val="both"/>
              <w:rPr>
                <w:rFonts w:ascii="Times New Roman" w:hAnsi="Times New Roman" w:eastAsia="仿宋_GB2312" w:cs="Times New Roman"/>
                <w:sz w:val="24"/>
                <w:szCs w:val="24"/>
              </w:rPr>
            </w:pPr>
          </w:p>
        </w:tc>
        <w:tc>
          <w:tcPr>
            <w:tcW w:w="3105" w:type="dxa"/>
          </w:tcPr>
          <w:p w14:paraId="5621B959">
            <w:pPr>
              <w:widowControl w:val="0"/>
              <w:spacing w:line="600" w:lineRule="exact"/>
              <w:jc w:val="both"/>
              <w:rPr>
                <w:rFonts w:ascii="Times New Roman" w:hAnsi="Times New Roman" w:eastAsia="仿宋_GB2312" w:cs="Times New Roman"/>
                <w:sz w:val="24"/>
                <w:szCs w:val="24"/>
              </w:rPr>
            </w:pPr>
          </w:p>
        </w:tc>
        <w:tc>
          <w:tcPr>
            <w:tcW w:w="1391" w:type="dxa"/>
          </w:tcPr>
          <w:p w14:paraId="2A70E754">
            <w:pPr>
              <w:widowControl w:val="0"/>
              <w:spacing w:line="600" w:lineRule="exact"/>
              <w:jc w:val="both"/>
              <w:rPr>
                <w:rFonts w:ascii="Times New Roman" w:hAnsi="Times New Roman" w:eastAsia="仿宋_GB2312" w:cs="Times New Roman"/>
                <w:sz w:val="24"/>
                <w:szCs w:val="24"/>
              </w:rPr>
            </w:pPr>
          </w:p>
        </w:tc>
        <w:tc>
          <w:tcPr>
            <w:tcW w:w="1774" w:type="dxa"/>
          </w:tcPr>
          <w:p w14:paraId="26258E7C">
            <w:pPr>
              <w:widowControl w:val="0"/>
              <w:spacing w:line="600" w:lineRule="exact"/>
              <w:jc w:val="both"/>
              <w:rPr>
                <w:rFonts w:ascii="Times New Roman" w:hAnsi="Times New Roman" w:eastAsia="仿宋_GB2312" w:cs="Times New Roman"/>
                <w:sz w:val="24"/>
                <w:szCs w:val="24"/>
              </w:rPr>
            </w:pPr>
          </w:p>
        </w:tc>
        <w:tc>
          <w:tcPr>
            <w:tcW w:w="2133" w:type="dxa"/>
          </w:tcPr>
          <w:p w14:paraId="286533C7">
            <w:pPr>
              <w:widowControl w:val="0"/>
              <w:spacing w:line="600" w:lineRule="exact"/>
              <w:jc w:val="both"/>
              <w:rPr>
                <w:rFonts w:ascii="Times New Roman" w:hAnsi="Times New Roman" w:eastAsia="仿宋_GB2312" w:cs="Times New Roman"/>
                <w:sz w:val="24"/>
                <w:szCs w:val="24"/>
              </w:rPr>
            </w:pPr>
          </w:p>
        </w:tc>
        <w:tc>
          <w:tcPr>
            <w:tcW w:w="2221" w:type="dxa"/>
          </w:tcPr>
          <w:p w14:paraId="2AA560C6">
            <w:pPr>
              <w:widowControl w:val="0"/>
              <w:spacing w:line="600" w:lineRule="exact"/>
              <w:jc w:val="both"/>
              <w:rPr>
                <w:rFonts w:ascii="Times New Roman" w:hAnsi="Times New Roman" w:eastAsia="仿宋_GB2312" w:cs="Times New Roman"/>
                <w:sz w:val="24"/>
                <w:szCs w:val="24"/>
              </w:rPr>
            </w:pPr>
          </w:p>
        </w:tc>
        <w:tc>
          <w:tcPr>
            <w:tcW w:w="2171" w:type="dxa"/>
          </w:tcPr>
          <w:p w14:paraId="02A589BE">
            <w:pPr>
              <w:widowControl w:val="0"/>
              <w:spacing w:line="600" w:lineRule="exact"/>
              <w:jc w:val="both"/>
              <w:rPr>
                <w:rFonts w:ascii="Times New Roman" w:hAnsi="Times New Roman" w:eastAsia="仿宋_GB2312" w:cs="Times New Roman"/>
                <w:sz w:val="24"/>
                <w:szCs w:val="24"/>
              </w:rPr>
            </w:pPr>
          </w:p>
        </w:tc>
      </w:tr>
      <w:tr w14:paraId="332BC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10707D82">
            <w:pPr>
              <w:widowControl w:val="0"/>
              <w:spacing w:line="600" w:lineRule="exact"/>
              <w:jc w:val="both"/>
              <w:rPr>
                <w:rFonts w:ascii="Times New Roman" w:hAnsi="Times New Roman" w:eastAsia="仿宋_GB2312" w:cs="Times New Roman"/>
                <w:sz w:val="24"/>
                <w:szCs w:val="24"/>
              </w:rPr>
            </w:pPr>
          </w:p>
        </w:tc>
        <w:tc>
          <w:tcPr>
            <w:tcW w:w="3105" w:type="dxa"/>
          </w:tcPr>
          <w:p w14:paraId="7BA9BD9C">
            <w:pPr>
              <w:widowControl w:val="0"/>
              <w:spacing w:line="600" w:lineRule="exact"/>
              <w:jc w:val="both"/>
              <w:rPr>
                <w:rFonts w:ascii="Times New Roman" w:hAnsi="Times New Roman" w:eastAsia="仿宋_GB2312" w:cs="Times New Roman"/>
                <w:sz w:val="24"/>
                <w:szCs w:val="24"/>
              </w:rPr>
            </w:pPr>
          </w:p>
        </w:tc>
        <w:tc>
          <w:tcPr>
            <w:tcW w:w="1391" w:type="dxa"/>
          </w:tcPr>
          <w:p w14:paraId="7C94EAC1">
            <w:pPr>
              <w:widowControl w:val="0"/>
              <w:spacing w:line="600" w:lineRule="exact"/>
              <w:jc w:val="both"/>
              <w:rPr>
                <w:rFonts w:ascii="Times New Roman" w:hAnsi="Times New Roman" w:eastAsia="仿宋_GB2312" w:cs="Times New Roman"/>
                <w:sz w:val="24"/>
                <w:szCs w:val="24"/>
              </w:rPr>
            </w:pPr>
          </w:p>
        </w:tc>
        <w:tc>
          <w:tcPr>
            <w:tcW w:w="1774" w:type="dxa"/>
          </w:tcPr>
          <w:p w14:paraId="229A3411">
            <w:pPr>
              <w:widowControl w:val="0"/>
              <w:spacing w:line="600" w:lineRule="exact"/>
              <w:jc w:val="both"/>
              <w:rPr>
                <w:rFonts w:ascii="Times New Roman" w:hAnsi="Times New Roman" w:eastAsia="仿宋_GB2312" w:cs="Times New Roman"/>
                <w:sz w:val="24"/>
                <w:szCs w:val="24"/>
              </w:rPr>
            </w:pPr>
          </w:p>
        </w:tc>
        <w:tc>
          <w:tcPr>
            <w:tcW w:w="2133" w:type="dxa"/>
          </w:tcPr>
          <w:p w14:paraId="350FDBC6">
            <w:pPr>
              <w:widowControl w:val="0"/>
              <w:spacing w:line="600" w:lineRule="exact"/>
              <w:jc w:val="both"/>
              <w:rPr>
                <w:rFonts w:ascii="Times New Roman" w:hAnsi="Times New Roman" w:eastAsia="仿宋_GB2312" w:cs="Times New Roman"/>
                <w:sz w:val="24"/>
                <w:szCs w:val="24"/>
              </w:rPr>
            </w:pPr>
          </w:p>
        </w:tc>
        <w:tc>
          <w:tcPr>
            <w:tcW w:w="2221" w:type="dxa"/>
          </w:tcPr>
          <w:p w14:paraId="00C01355">
            <w:pPr>
              <w:widowControl w:val="0"/>
              <w:spacing w:line="600" w:lineRule="exact"/>
              <w:jc w:val="both"/>
              <w:rPr>
                <w:rFonts w:ascii="Times New Roman" w:hAnsi="Times New Roman" w:eastAsia="仿宋_GB2312" w:cs="Times New Roman"/>
                <w:sz w:val="24"/>
                <w:szCs w:val="24"/>
              </w:rPr>
            </w:pPr>
          </w:p>
        </w:tc>
        <w:tc>
          <w:tcPr>
            <w:tcW w:w="2171" w:type="dxa"/>
          </w:tcPr>
          <w:p w14:paraId="2237DB27">
            <w:pPr>
              <w:widowControl w:val="0"/>
              <w:spacing w:line="600" w:lineRule="exact"/>
              <w:jc w:val="both"/>
              <w:rPr>
                <w:rFonts w:ascii="Times New Roman" w:hAnsi="Times New Roman" w:eastAsia="仿宋_GB2312" w:cs="Times New Roman"/>
                <w:sz w:val="24"/>
                <w:szCs w:val="24"/>
              </w:rPr>
            </w:pPr>
          </w:p>
        </w:tc>
      </w:tr>
      <w:tr w14:paraId="6987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14:paraId="5A262CB5">
            <w:pPr>
              <w:widowControl w:val="0"/>
              <w:spacing w:line="600" w:lineRule="exact"/>
              <w:jc w:val="both"/>
              <w:rPr>
                <w:rFonts w:ascii="Times New Roman" w:hAnsi="Times New Roman" w:eastAsia="仿宋_GB2312" w:cs="Times New Roman"/>
                <w:sz w:val="24"/>
                <w:szCs w:val="24"/>
              </w:rPr>
            </w:pPr>
          </w:p>
        </w:tc>
        <w:tc>
          <w:tcPr>
            <w:tcW w:w="3105" w:type="dxa"/>
          </w:tcPr>
          <w:p w14:paraId="2B921F90">
            <w:pPr>
              <w:widowControl w:val="0"/>
              <w:spacing w:line="600" w:lineRule="exact"/>
              <w:jc w:val="both"/>
              <w:rPr>
                <w:rFonts w:ascii="Times New Roman" w:hAnsi="Times New Roman" w:eastAsia="仿宋_GB2312" w:cs="Times New Roman"/>
                <w:sz w:val="24"/>
                <w:szCs w:val="24"/>
              </w:rPr>
            </w:pPr>
          </w:p>
        </w:tc>
        <w:tc>
          <w:tcPr>
            <w:tcW w:w="1391" w:type="dxa"/>
          </w:tcPr>
          <w:p w14:paraId="7B2F1DB2">
            <w:pPr>
              <w:widowControl w:val="0"/>
              <w:spacing w:line="600" w:lineRule="exact"/>
              <w:jc w:val="both"/>
              <w:rPr>
                <w:rFonts w:ascii="Times New Roman" w:hAnsi="Times New Roman" w:eastAsia="仿宋_GB2312" w:cs="Times New Roman"/>
                <w:sz w:val="24"/>
                <w:szCs w:val="24"/>
              </w:rPr>
            </w:pPr>
          </w:p>
        </w:tc>
        <w:tc>
          <w:tcPr>
            <w:tcW w:w="1774" w:type="dxa"/>
          </w:tcPr>
          <w:p w14:paraId="28BF745E">
            <w:pPr>
              <w:widowControl w:val="0"/>
              <w:spacing w:line="600" w:lineRule="exact"/>
              <w:jc w:val="both"/>
              <w:rPr>
                <w:rFonts w:ascii="Times New Roman" w:hAnsi="Times New Roman" w:eastAsia="仿宋_GB2312" w:cs="Times New Roman"/>
                <w:sz w:val="24"/>
                <w:szCs w:val="24"/>
              </w:rPr>
            </w:pPr>
          </w:p>
        </w:tc>
        <w:tc>
          <w:tcPr>
            <w:tcW w:w="2133" w:type="dxa"/>
          </w:tcPr>
          <w:p w14:paraId="074E693B">
            <w:pPr>
              <w:widowControl w:val="0"/>
              <w:spacing w:line="600" w:lineRule="exact"/>
              <w:jc w:val="both"/>
              <w:rPr>
                <w:rFonts w:ascii="Times New Roman" w:hAnsi="Times New Roman" w:eastAsia="仿宋_GB2312" w:cs="Times New Roman"/>
                <w:sz w:val="24"/>
                <w:szCs w:val="24"/>
              </w:rPr>
            </w:pPr>
          </w:p>
        </w:tc>
        <w:tc>
          <w:tcPr>
            <w:tcW w:w="2221" w:type="dxa"/>
          </w:tcPr>
          <w:p w14:paraId="60389FCC">
            <w:pPr>
              <w:widowControl w:val="0"/>
              <w:spacing w:line="600" w:lineRule="exact"/>
              <w:jc w:val="both"/>
              <w:rPr>
                <w:rFonts w:ascii="Times New Roman" w:hAnsi="Times New Roman" w:eastAsia="仿宋_GB2312" w:cs="Times New Roman"/>
                <w:sz w:val="24"/>
                <w:szCs w:val="24"/>
              </w:rPr>
            </w:pPr>
          </w:p>
        </w:tc>
        <w:tc>
          <w:tcPr>
            <w:tcW w:w="2171" w:type="dxa"/>
          </w:tcPr>
          <w:p w14:paraId="1470239A">
            <w:pPr>
              <w:widowControl w:val="0"/>
              <w:spacing w:line="600" w:lineRule="exact"/>
              <w:jc w:val="both"/>
              <w:rPr>
                <w:rFonts w:ascii="Times New Roman" w:hAnsi="Times New Roman" w:eastAsia="仿宋_GB2312" w:cs="Times New Roman"/>
                <w:sz w:val="24"/>
                <w:szCs w:val="24"/>
              </w:rPr>
            </w:pPr>
          </w:p>
        </w:tc>
      </w:tr>
    </w:tbl>
    <w:p w14:paraId="20B095B9">
      <w:pPr>
        <w:widowControl w:val="0"/>
        <w:spacing w:line="600" w:lineRule="exact"/>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注：此表统计各乡镇撤并学校中，需要乘公交车学生数及一学年所需交通费用情况。</w:t>
      </w:r>
    </w:p>
    <w:p w14:paraId="02EA3383">
      <w:pPr>
        <w:widowControl w:val="0"/>
        <w:spacing w:line="600" w:lineRule="exact"/>
        <w:jc w:val="both"/>
        <w:rPr>
          <w:rFonts w:ascii="Times New Roman" w:hAnsi="Times New Roman" w:eastAsia="仿宋_GB2312" w:cs="Times New Roman"/>
          <w:sz w:val="32"/>
          <w:szCs w:val="32"/>
          <w:lang w:eastAsia="zh-CN"/>
        </w:rPr>
      </w:pPr>
    </w:p>
    <w:p w14:paraId="1BCF7B5B">
      <w:pPr>
        <w:widowControl w:val="0"/>
        <w:spacing w:line="600" w:lineRule="exact"/>
        <w:jc w:val="both"/>
        <w:rPr>
          <w:rFonts w:hint="eastAsia" w:ascii="黑体" w:hAnsi="黑体" w:eastAsia="黑体" w:cs="黑体"/>
          <w:sz w:val="32"/>
          <w:szCs w:val="32"/>
          <w:lang w:val="en-US" w:eastAsia="zh-CN"/>
        </w:rPr>
        <w:sectPr>
          <w:footerReference r:id="rId9" w:type="default"/>
          <w:pgSz w:w="16838" w:h="11905" w:orient="landscape"/>
          <w:pgMar w:top="1587" w:right="1587" w:bottom="1587" w:left="1587" w:header="0" w:footer="981" w:gutter="0"/>
          <w:pgNumType w:fmt="numberInDash"/>
          <w:cols w:space="0" w:num="1"/>
          <w:rtlGutter w:val="0"/>
          <w:docGrid w:linePitch="312" w:charSpace="0"/>
        </w:sectPr>
      </w:pPr>
    </w:p>
    <w:p w14:paraId="1C5FE21C">
      <w:pPr>
        <w:widowControl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5C1A7F9D">
      <w:pPr>
        <w:pStyle w:val="23"/>
        <w:widowControl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德安县优化义务教育资源配置闲置</w:t>
      </w:r>
    </w:p>
    <w:p w14:paraId="11FFAED5">
      <w:pPr>
        <w:pStyle w:val="23"/>
        <w:widowControl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校园校舍等资源利用方案</w:t>
      </w:r>
    </w:p>
    <w:p w14:paraId="1C5593B4">
      <w:pPr>
        <w:widowControl w:val="0"/>
        <w:kinsoku/>
        <w:autoSpaceDE/>
        <w:autoSpaceDN/>
        <w:spacing w:line="560" w:lineRule="exact"/>
        <w:jc w:val="center"/>
        <w:textAlignment w:val="auto"/>
        <w:rPr>
          <w:rFonts w:ascii="仿宋_GB2312" w:hAnsi="仿宋_GB2312" w:eastAsia="仿宋_GB2312" w:cs="仿宋_GB2312"/>
          <w:sz w:val="32"/>
          <w:szCs w:val="32"/>
          <w:lang w:val="zh-CN"/>
        </w:rPr>
      </w:pPr>
    </w:p>
    <w:p w14:paraId="279934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宋体" w:cs="Times New Roman"/>
          <w:snapToGrid/>
          <w:sz w:val="20"/>
          <w:szCs w:val="20"/>
          <w:lang w:val="zh-CN" w:eastAsia="zh-CN"/>
        </w:rPr>
      </w:pPr>
      <w:r>
        <w:rPr>
          <w:rFonts w:hint="eastAsia" w:ascii="仿宋_GB2312" w:hAnsi="仿宋_GB2312" w:eastAsia="仿宋_GB2312" w:cs="仿宋_GB2312"/>
          <w:snapToGrid/>
          <w:color w:val="000000"/>
          <w:sz w:val="32"/>
          <w:szCs w:val="32"/>
          <w:lang w:val="zh-CN" w:eastAsia="zh-CN"/>
        </w:rPr>
        <w:t>根据《江西省人民政府办公</w:t>
      </w:r>
      <w:r>
        <w:rPr>
          <w:rFonts w:hint="eastAsia" w:ascii="仿宋_GB2312" w:hAnsi="仿宋_GB2312" w:eastAsia="仿宋_GB2312" w:cs="仿宋_GB2312"/>
          <w:snapToGrid/>
          <w:color w:val="000000"/>
          <w:sz w:val="32"/>
          <w:szCs w:val="32"/>
          <w:lang w:eastAsia="zh-CN"/>
        </w:rPr>
        <w:t>厅</w:t>
      </w:r>
      <w:r>
        <w:rPr>
          <w:rFonts w:hint="eastAsia" w:ascii="仿宋_GB2312" w:hAnsi="仿宋_GB2312" w:eastAsia="仿宋_GB2312" w:cs="仿宋_GB2312"/>
          <w:snapToGrid/>
          <w:color w:val="000000"/>
          <w:sz w:val="32"/>
          <w:szCs w:val="32"/>
          <w:lang w:val="zh-CN" w:eastAsia="zh-CN"/>
        </w:rPr>
        <w:t>关于农村中小学校闲置校园校舍处置工作的指导意见》（赣府厅发〔2018〕41号）和《</w:t>
      </w:r>
      <w:r>
        <w:rPr>
          <w:rFonts w:hint="eastAsia" w:ascii="仿宋_GB2312" w:hAnsi="仿宋_GB2312" w:eastAsia="仿宋_GB2312" w:cs="仿宋_GB2312"/>
          <w:snapToGrid/>
          <w:color w:val="000000"/>
          <w:sz w:val="32"/>
          <w:szCs w:val="32"/>
          <w:lang w:eastAsia="zh-CN"/>
        </w:rPr>
        <w:t>九江</w:t>
      </w:r>
      <w:r>
        <w:rPr>
          <w:rFonts w:hint="eastAsia" w:ascii="仿宋_GB2312" w:hAnsi="仿宋_GB2312" w:eastAsia="仿宋_GB2312" w:cs="仿宋_GB2312"/>
          <w:snapToGrid/>
          <w:color w:val="000000"/>
          <w:sz w:val="32"/>
          <w:szCs w:val="32"/>
          <w:lang w:val="zh-CN" w:eastAsia="zh-CN"/>
        </w:rPr>
        <w:t>市教育局关于印发（九江市农村中小学闲置校园校舍处置工作方案）的通知》（九教发〔2019〕26号）精神，按照《</w:t>
      </w:r>
      <w:r>
        <w:rPr>
          <w:rFonts w:hint="eastAsia" w:ascii="仿宋_GB2312" w:hAnsi="仿宋_GB2312" w:eastAsia="仿宋_GB2312" w:cs="仿宋_GB2312"/>
          <w:snapToGrid/>
          <w:color w:val="000000"/>
          <w:sz w:val="32"/>
          <w:szCs w:val="32"/>
          <w:lang w:eastAsia="zh-CN"/>
        </w:rPr>
        <w:t>德安县</w:t>
      </w:r>
      <w:r>
        <w:rPr>
          <w:rFonts w:hint="eastAsia" w:ascii="仿宋_GB2312" w:hAnsi="仿宋_GB2312" w:eastAsia="仿宋_GB2312" w:cs="仿宋_GB2312"/>
          <w:snapToGrid/>
          <w:color w:val="000000"/>
          <w:sz w:val="32"/>
          <w:szCs w:val="32"/>
          <w:lang w:val="zh-CN" w:eastAsia="zh-CN"/>
        </w:rPr>
        <w:t>人民政府办公室关于印发德安县农村中小</w:t>
      </w:r>
      <w:r>
        <w:rPr>
          <w:rFonts w:hint="eastAsia" w:ascii="仿宋_GB2312" w:hAnsi="仿宋_GB2312" w:eastAsia="仿宋_GB2312" w:cs="仿宋_GB2312"/>
          <w:snapToGrid/>
          <w:color w:val="000000"/>
          <w:sz w:val="32"/>
          <w:szCs w:val="32"/>
          <w:lang w:eastAsia="zh-CN"/>
        </w:rPr>
        <w:t>学校</w:t>
      </w:r>
      <w:r>
        <w:rPr>
          <w:rFonts w:hint="eastAsia" w:ascii="仿宋_GB2312" w:hAnsi="仿宋_GB2312" w:eastAsia="仿宋_GB2312" w:cs="仿宋_GB2312"/>
          <w:snapToGrid/>
          <w:color w:val="000000"/>
          <w:sz w:val="32"/>
          <w:szCs w:val="32"/>
          <w:lang w:val="zh-CN" w:eastAsia="zh-CN"/>
        </w:rPr>
        <w:t>闲置</w:t>
      </w:r>
      <w:r>
        <w:rPr>
          <w:rFonts w:hint="eastAsia" w:ascii="仿宋_GB2312" w:hAnsi="仿宋_GB2312" w:eastAsia="仿宋_GB2312" w:cs="仿宋_GB2312"/>
          <w:snapToGrid/>
          <w:color w:val="000000"/>
          <w:sz w:val="32"/>
          <w:szCs w:val="32"/>
          <w:lang w:eastAsia="zh-CN"/>
        </w:rPr>
        <w:t>校舍</w:t>
      </w:r>
      <w:r>
        <w:rPr>
          <w:rFonts w:hint="eastAsia" w:ascii="仿宋_GB2312" w:hAnsi="仿宋_GB2312" w:eastAsia="仿宋_GB2312" w:cs="仿宋_GB2312"/>
          <w:snapToGrid/>
          <w:color w:val="000000"/>
          <w:sz w:val="32"/>
          <w:szCs w:val="32"/>
          <w:lang w:val="zh-CN" w:eastAsia="zh-CN"/>
        </w:rPr>
        <w:t>处置</w:t>
      </w:r>
      <w:r>
        <w:rPr>
          <w:rFonts w:hint="eastAsia" w:ascii="仿宋_GB2312" w:hAnsi="仿宋_GB2312" w:eastAsia="仿宋_GB2312" w:cs="仿宋_GB2312"/>
          <w:snapToGrid/>
          <w:color w:val="000000"/>
          <w:sz w:val="32"/>
          <w:szCs w:val="32"/>
          <w:lang w:eastAsia="zh-CN"/>
        </w:rPr>
        <w:t>工作的方案</w:t>
      </w:r>
      <w:r>
        <w:rPr>
          <w:rFonts w:hint="eastAsia" w:ascii="仿宋_GB2312" w:hAnsi="仿宋_GB2312" w:eastAsia="仿宋_GB2312" w:cs="仿宋_GB2312"/>
          <w:snapToGrid/>
          <w:color w:val="000000"/>
          <w:sz w:val="32"/>
          <w:szCs w:val="32"/>
          <w:lang w:val="zh-CN" w:eastAsia="zh-CN"/>
        </w:rPr>
        <w:t>通知》（</w:t>
      </w:r>
      <w:r>
        <w:rPr>
          <w:rFonts w:hint="eastAsia" w:ascii="仿宋_GB2312" w:hAnsi="仿宋_GB2312" w:eastAsia="仿宋_GB2312" w:cs="仿宋_GB2312"/>
          <w:snapToGrid/>
          <w:color w:val="000000"/>
          <w:sz w:val="32"/>
          <w:szCs w:val="32"/>
          <w:lang w:eastAsia="zh-CN"/>
        </w:rPr>
        <w:t>德</w:t>
      </w:r>
      <w:r>
        <w:rPr>
          <w:rFonts w:hint="eastAsia" w:ascii="仿宋_GB2312" w:hAnsi="仿宋_GB2312" w:eastAsia="仿宋_GB2312" w:cs="仿宋_GB2312"/>
          <w:snapToGrid/>
          <w:color w:val="000000"/>
          <w:sz w:val="32"/>
          <w:szCs w:val="32"/>
          <w:lang w:val="zh-CN" w:eastAsia="zh-CN"/>
        </w:rPr>
        <w:t>府办字〔2018〕</w:t>
      </w:r>
      <w:r>
        <w:rPr>
          <w:rFonts w:hint="eastAsia" w:ascii="仿宋_GB2312" w:hAnsi="仿宋_GB2312" w:eastAsia="仿宋_GB2312" w:cs="仿宋_GB2312"/>
          <w:snapToGrid/>
          <w:color w:val="000000"/>
          <w:sz w:val="32"/>
          <w:szCs w:val="32"/>
          <w:lang w:eastAsia="zh-CN"/>
        </w:rPr>
        <w:t>156</w:t>
      </w:r>
      <w:r>
        <w:rPr>
          <w:rFonts w:hint="eastAsia" w:ascii="仿宋_GB2312" w:hAnsi="仿宋_GB2312" w:eastAsia="仿宋_GB2312" w:cs="仿宋_GB2312"/>
          <w:snapToGrid/>
          <w:color w:val="000000"/>
          <w:sz w:val="32"/>
          <w:szCs w:val="32"/>
          <w:lang w:val="zh-CN" w:eastAsia="zh-CN"/>
        </w:rPr>
        <w:t>号）文件要求，结合德安县实际，现制定全</w:t>
      </w:r>
      <w:r>
        <w:rPr>
          <w:rFonts w:hint="eastAsia" w:ascii="仿宋_GB2312" w:hAnsi="仿宋_GB2312" w:eastAsia="仿宋_GB2312" w:cs="仿宋_GB2312"/>
          <w:snapToGrid/>
          <w:color w:val="000000"/>
          <w:sz w:val="32"/>
          <w:szCs w:val="32"/>
          <w:lang w:eastAsia="zh-CN"/>
        </w:rPr>
        <w:t>县</w:t>
      </w:r>
      <w:r>
        <w:rPr>
          <w:rFonts w:hint="eastAsia" w:ascii="仿宋_GB2312" w:hAnsi="仿宋_GB2312" w:eastAsia="仿宋_GB2312" w:cs="仿宋_GB2312"/>
          <w:snapToGrid/>
          <w:color w:val="000000"/>
          <w:sz w:val="32"/>
          <w:szCs w:val="32"/>
          <w:lang w:val="zh-CN" w:eastAsia="zh-CN"/>
        </w:rPr>
        <w:t>优化义务教育资源配置闲置校园校舍等资源利用方案，具体如下。</w:t>
      </w:r>
    </w:p>
    <w:p w14:paraId="54AB00DF">
      <w:pPr>
        <w:keepNext w:val="0"/>
        <w:keepLines w:val="0"/>
        <w:pageBreakBefore w:val="0"/>
        <w:wordWrap/>
        <w:overflowPunct/>
        <w:topLinePunct w:val="0"/>
        <w:bidi w:val="0"/>
        <w:adjustRightInd w:val="0"/>
        <w:snapToGrid w:val="0"/>
        <w:spacing w:line="560" w:lineRule="exact"/>
        <w:ind w:firstLine="640" w:firstLineChars="200"/>
        <w:rPr>
          <w:rFonts w:ascii="仿宋" w:hAnsi="仿宋" w:eastAsia="仿宋" w:cs="黑体"/>
          <w:color w:val="000000"/>
          <w:sz w:val="10"/>
          <w:szCs w:val="10"/>
          <w:lang w:val="en-US" w:eastAsia="zh-CN" w:bidi="ar-SA"/>
        </w:rPr>
      </w:pPr>
      <w:r>
        <w:rPr>
          <w:rFonts w:hint="eastAsia" w:ascii="黑体" w:hAnsi="黑体" w:eastAsia="黑体" w:cs="黑体"/>
          <w:color w:val="000000"/>
          <w:sz w:val="32"/>
          <w:szCs w:val="32"/>
          <w:lang w:val="en-US" w:eastAsia="zh-CN" w:bidi="ar-SA"/>
        </w:rPr>
        <w:t>一、处置范围</w:t>
      </w:r>
    </w:p>
    <w:p w14:paraId="626A55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napToGrid/>
          <w:color w:val="000000"/>
          <w:sz w:val="32"/>
          <w:szCs w:val="32"/>
          <w:lang w:val="zh-CN" w:eastAsia="zh-CN"/>
        </w:rPr>
      </w:pPr>
      <w:r>
        <w:rPr>
          <w:rFonts w:hint="eastAsia" w:ascii="仿宋_GB2312" w:hAnsi="仿宋_GB2312" w:eastAsia="仿宋_GB2312" w:cs="仿宋_GB2312"/>
          <w:snapToGrid/>
          <w:color w:val="000000"/>
          <w:sz w:val="32"/>
          <w:szCs w:val="32"/>
          <w:lang w:val="zh-CN" w:eastAsia="zh-CN"/>
        </w:rPr>
        <w:t>农村义务教育中小学校布局调整中已经撤并停办及其他原因闲置的校园校舍</w:t>
      </w:r>
      <w:r>
        <w:rPr>
          <w:rFonts w:hint="eastAsia" w:ascii="仿宋_GB2312" w:hAnsi="仿宋_GB2312" w:eastAsia="仿宋_GB2312" w:cs="仿宋_GB2312"/>
          <w:snapToGrid/>
          <w:color w:val="000000"/>
          <w:sz w:val="32"/>
          <w:szCs w:val="32"/>
          <w:lang w:val="en-US" w:eastAsia="zh-CN"/>
        </w:rPr>
        <w:t>和设施设备</w:t>
      </w:r>
      <w:r>
        <w:rPr>
          <w:rFonts w:hint="eastAsia" w:ascii="仿宋_GB2312" w:hAnsi="仿宋_GB2312" w:eastAsia="仿宋_GB2312" w:cs="仿宋_GB2312"/>
          <w:snapToGrid/>
          <w:color w:val="000000"/>
          <w:sz w:val="32"/>
          <w:szCs w:val="32"/>
          <w:lang w:val="zh-CN" w:eastAsia="zh-CN"/>
        </w:rPr>
        <w:t>，包括闲置的校园土地、建筑物及附属设施。不包括尚在办学学校的空闲校舍资产。</w:t>
      </w:r>
    </w:p>
    <w:p w14:paraId="4F15AE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仿宋_GB2312"/>
          <w:snapToGrid/>
          <w:color w:val="000000"/>
          <w:sz w:val="32"/>
          <w:szCs w:val="32"/>
          <w:lang w:val="zh-CN" w:eastAsia="zh-CN"/>
        </w:rPr>
      </w:pPr>
      <w:r>
        <w:rPr>
          <w:rFonts w:hint="eastAsia" w:ascii="黑体" w:hAnsi="黑体" w:eastAsia="黑体" w:cs="仿宋_GB2312"/>
          <w:snapToGrid/>
          <w:color w:val="000000"/>
          <w:sz w:val="32"/>
          <w:szCs w:val="32"/>
          <w:lang w:eastAsia="zh-CN"/>
        </w:rPr>
        <w:t>二、</w:t>
      </w:r>
      <w:r>
        <w:rPr>
          <w:rFonts w:hint="eastAsia" w:ascii="黑体" w:hAnsi="黑体" w:eastAsia="黑体" w:cs="仿宋_GB2312"/>
          <w:snapToGrid/>
          <w:color w:val="000000"/>
          <w:sz w:val="32"/>
          <w:szCs w:val="32"/>
          <w:lang w:val="zh-CN" w:eastAsia="zh-CN"/>
        </w:rPr>
        <w:t>处置利用原则</w:t>
      </w:r>
    </w:p>
    <w:p w14:paraId="3928BCE9">
      <w:pPr>
        <w:keepNext w:val="0"/>
        <w:keepLines w:val="0"/>
        <w:pageBreakBefore w:val="0"/>
        <w:wordWrap/>
        <w:overflowPunct/>
        <w:topLinePunct w:val="0"/>
        <w:bidi w:val="0"/>
        <w:adjustRightInd w:val="0"/>
        <w:snapToGrid w:val="0"/>
        <w:spacing w:line="560" w:lineRule="exact"/>
        <w:ind w:firstLine="581" w:firstLineChars="181"/>
        <w:rPr>
          <w:rFonts w:hint="eastAsia" w:ascii="仿宋_GB2312" w:hAnsi="仿宋_GB2312" w:eastAsia="仿宋_GB2312" w:cs="仿宋_GB2312"/>
          <w:color w:val="000000"/>
          <w:sz w:val="32"/>
          <w:szCs w:val="32"/>
          <w:lang w:val="zh-CN" w:eastAsia="zh-CN" w:bidi="ar-SA"/>
        </w:rPr>
      </w:pPr>
      <w:r>
        <w:rPr>
          <w:rFonts w:hint="eastAsia" w:ascii="楷体" w:hAnsi="楷体" w:eastAsia="楷体" w:cs="楷体"/>
          <w:b/>
          <w:bCs/>
          <w:color w:val="000000"/>
          <w:sz w:val="32"/>
          <w:szCs w:val="32"/>
          <w:lang w:val="zh-CN" w:eastAsia="zh-CN" w:bidi="ar-SA"/>
        </w:rPr>
        <w:t>（一）</w:t>
      </w:r>
      <w:r>
        <w:rPr>
          <w:rFonts w:hint="eastAsia" w:ascii="楷体" w:hAnsi="楷体" w:eastAsia="楷体" w:cs="楷体"/>
          <w:b/>
          <w:color w:val="000000"/>
          <w:sz w:val="32"/>
          <w:szCs w:val="32"/>
          <w:lang w:val="en-US" w:eastAsia="zh-CN" w:bidi="ar-SA"/>
        </w:rPr>
        <w:t>分类指导，教育优先原则。</w:t>
      </w:r>
      <w:r>
        <w:rPr>
          <w:rFonts w:hint="eastAsia" w:ascii="仿宋_GB2312" w:hAnsi="仿宋_GB2312" w:eastAsia="仿宋_GB2312" w:cs="仿宋_GB2312"/>
          <w:color w:val="000000"/>
          <w:sz w:val="32"/>
          <w:szCs w:val="32"/>
          <w:lang w:val="zh-CN" w:eastAsia="zh-CN" w:bidi="ar-SA"/>
        </w:rPr>
        <w:t>根据闲置校园校舍的利用价值、产权归属等实际情况，分类指导，因校制宜，实现闲置校产“二次投入教育”，确保闲置校产对促进教育发展效益的最大化。</w:t>
      </w:r>
    </w:p>
    <w:p w14:paraId="405D10D5">
      <w:pPr>
        <w:keepNext w:val="0"/>
        <w:keepLines w:val="0"/>
        <w:pageBreakBefore w:val="0"/>
        <w:widowControl w:val="0"/>
        <w:kinsoku/>
        <w:wordWrap/>
        <w:overflowPunct/>
        <w:topLinePunct w:val="0"/>
        <w:autoSpaceDE/>
        <w:autoSpaceDN/>
        <w:bidi w:val="0"/>
        <w:adjustRightInd w:val="0"/>
        <w:snapToGrid w:val="0"/>
        <w:spacing w:line="560" w:lineRule="exact"/>
        <w:ind w:firstLine="611" w:firstLineChars="200"/>
        <w:jc w:val="both"/>
        <w:textAlignment w:val="auto"/>
        <w:rPr>
          <w:rFonts w:hint="eastAsia" w:ascii="仿宋_GB2312" w:hAnsi="仿宋_GB2312" w:eastAsia="仿宋_GB2312" w:cs="仿宋_GB2312"/>
          <w:snapToGrid/>
          <w:color w:val="000000"/>
          <w:spacing w:val="-8"/>
          <w:sz w:val="32"/>
          <w:szCs w:val="32"/>
          <w:lang w:val="zh-CN" w:eastAsia="zh-CN"/>
        </w:rPr>
      </w:pPr>
      <w:r>
        <w:rPr>
          <w:rFonts w:hint="eastAsia" w:ascii="楷体" w:hAnsi="楷体" w:eastAsia="楷体" w:cs="楷体"/>
          <w:b/>
          <w:bCs/>
          <w:snapToGrid/>
          <w:color w:val="000000"/>
          <w:spacing w:val="-8"/>
          <w:sz w:val="32"/>
          <w:szCs w:val="32"/>
          <w:lang w:val="zh-CN" w:eastAsia="zh-CN"/>
        </w:rPr>
        <w:t>（二）</w:t>
      </w:r>
      <w:r>
        <w:rPr>
          <w:rFonts w:hint="eastAsia" w:ascii="楷体" w:hAnsi="楷体" w:eastAsia="楷体" w:cs="楷体"/>
          <w:b/>
          <w:snapToGrid/>
          <w:color w:val="000000"/>
          <w:sz w:val="32"/>
          <w:szCs w:val="32"/>
          <w:lang w:eastAsia="zh-CN"/>
        </w:rPr>
        <w:t>依法规范，规范处置原则。</w:t>
      </w:r>
      <w:r>
        <w:rPr>
          <w:rFonts w:hint="eastAsia" w:ascii="仿宋_GB2312" w:hAnsi="仿宋" w:eastAsia="仿宋_GB2312" w:cs="Times New Roman"/>
          <w:snapToGrid/>
          <w:color w:val="000000"/>
          <w:sz w:val="32"/>
          <w:szCs w:val="32"/>
          <w:lang w:eastAsia="zh-CN"/>
        </w:rPr>
        <w:t>闲置校园校舍的处置工作必须遵守国家相关政策法规，严格履行审批程序，未经批准，任何单位和个人不得擅自处理。处置过程中，要切实维护各权属主体和原出资（含捐赠）者的合法权益。</w:t>
      </w:r>
      <w:r>
        <w:rPr>
          <w:rFonts w:hint="eastAsia" w:ascii="仿宋_GB2312" w:hAnsi="仿宋" w:eastAsia="仿宋_GB2312" w:cs="Arial"/>
          <w:snapToGrid/>
          <w:color w:val="000000" w:themeColor="text1"/>
          <w:sz w:val="32"/>
          <w:szCs w:val="32"/>
          <w:shd w:val="clear" w:color="auto" w:fill="FFFFFF"/>
          <w:lang w:eastAsia="zh-CN"/>
          <w14:textFill>
            <w14:solidFill>
              <w14:schemeClr w14:val="tx1"/>
            </w14:solidFill>
          </w14:textFill>
        </w:rPr>
        <w:t>原由华侨华人、海外同胞捐资兴建的校舍，应按照《中华人民共和国公益事业捐赠法》</w:t>
      </w:r>
      <w:bookmarkStart w:id="3" w:name="_GoBack"/>
      <w:bookmarkEnd w:id="3"/>
      <w:r>
        <w:rPr>
          <w:rFonts w:hint="eastAsia" w:ascii="仿宋_GB2312" w:hAnsi="仿宋" w:eastAsia="仿宋_GB2312" w:cs="Arial"/>
          <w:snapToGrid/>
          <w:color w:val="000000" w:themeColor="text1"/>
          <w:sz w:val="32"/>
          <w:szCs w:val="32"/>
          <w:shd w:val="clear" w:color="auto" w:fill="FFFFFF"/>
          <w:lang w:eastAsia="zh-CN"/>
          <w14:textFill>
            <w14:solidFill>
              <w14:schemeClr w14:val="tx1"/>
            </w14:solidFill>
          </w14:textFill>
        </w:rPr>
        <w:t>及《教育部、国务院侨务办公室关于在中小学布局调整中注意保护海外侨胞捐赠财产的意见》（教外港〔2003〕55号）的有关规定办理。</w:t>
      </w:r>
    </w:p>
    <w:p w14:paraId="2297460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 w:eastAsia="仿宋_GB2312" w:cs="Arial"/>
          <w:snapToGrid/>
          <w:color w:val="000000" w:themeColor="text1"/>
          <w:sz w:val="32"/>
          <w:szCs w:val="32"/>
          <w:lang w:val="zh-CN" w:eastAsia="zh-CN"/>
          <w14:textFill>
            <w14:solidFill>
              <w14:schemeClr w14:val="tx1"/>
            </w14:solidFill>
          </w14:textFill>
        </w:rPr>
      </w:pPr>
      <w:r>
        <w:rPr>
          <w:rFonts w:hint="eastAsia" w:ascii="楷体" w:hAnsi="楷体" w:eastAsia="楷体" w:cs="楷体"/>
          <w:b/>
          <w:bCs/>
          <w:snapToGrid/>
          <w:color w:val="000000"/>
          <w:sz w:val="32"/>
          <w:szCs w:val="32"/>
          <w:lang w:val="zh-CN" w:eastAsia="zh-CN"/>
        </w:rPr>
        <w:t>（三）</w:t>
      </w:r>
      <w:r>
        <w:rPr>
          <w:rFonts w:hint="eastAsia" w:ascii="楷体" w:hAnsi="楷体" w:eastAsia="楷体" w:cs="楷体"/>
          <w:b/>
          <w:snapToGrid/>
          <w:color w:val="000000"/>
          <w:sz w:val="32"/>
          <w:szCs w:val="32"/>
          <w:lang w:eastAsia="zh-CN"/>
        </w:rPr>
        <w:t>统筹规划，合理利用原则。</w:t>
      </w:r>
      <w:r>
        <w:rPr>
          <w:rFonts w:hint="eastAsia" w:ascii="仿宋_GB2312" w:hAnsi="仿宋" w:eastAsia="仿宋_GB2312" w:cs="Arial"/>
          <w:snapToGrid/>
          <w:color w:val="000000" w:themeColor="text1"/>
          <w:sz w:val="32"/>
          <w:szCs w:val="32"/>
          <w:shd w:val="clear" w:color="auto" w:fill="FFFFFF"/>
          <w:lang w:eastAsia="zh-CN"/>
          <w14:textFill>
            <w14:solidFill>
              <w14:schemeClr w14:val="tx1"/>
            </w14:solidFill>
          </w14:textFill>
        </w:rPr>
        <w:t>闲置校园校舍的教学设施、仪器、设备、图书等，按照“物随生流，合理调配，集中使用”的要求，全部转入布局调整后长期保留的乡镇中小学校</w:t>
      </w:r>
      <w:r>
        <w:rPr>
          <w:rFonts w:hint="eastAsia" w:ascii="仿宋_GB2312" w:hAnsi="仿宋" w:eastAsia="仿宋_GB2312" w:cs="Arial"/>
          <w:snapToGrid/>
          <w:color w:val="000000" w:themeColor="text1"/>
          <w:sz w:val="32"/>
          <w:szCs w:val="32"/>
          <w:shd w:val="clear" w:color="auto" w:fill="FFFFFF"/>
          <w:lang w:val="en-US" w:eastAsia="zh-CN"/>
          <w14:textFill>
            <w14:solidFill>
              <w14:schemeClr w14:val="tx1"/>
            </w14:solidFill>
          </w14:textFill>
        </w:rPr>
        <w:t>或城区学校</w:t>
      </w:r>
      <w:r>
        <w:rPr>
          <w:rFonts w:hint="eastAsia" w:ascii="仿宋_GB2312" w:hAnsi="仿宋" w:eastAsia="仿宋_GB2312" w:cs="Arial"/>
          <w:snapToGrid/>
          <w:color w:val="000000" w:themeColor="text1"/>
          <w:sz w:val="32"/>
          <w:szCs w:val="32"/>
          <w:shd w:val="clear" w:color="auto" w:fill="FFFFFF"/>
          <w:lang w:eastAsia="zh-CN"/>
          <w14:textFill>
            <w14:solidFill>
              <w14:schemeClr w14:val="tx1"/>
            </w14:solidFill>
          </w14:textFill>
        </w:rPr>
        <w:t>。闲置校园校舍等</w:t>
      </w:r>
      <w:r>
        <w:rPr>
          <w:rFonts w:hint="eastAsia" w:ascii="仿宋_GB2312" w:hAnsi="仿宋" w:eastAsia="仿宋_GB2312" w:cs="Times New Roman"/>
          <w:snapToGrid/>
          <w:color w:val="auto"/>
          <w:sz w:val="32"/>
          <w:szCs w:val="32"/>
          <w:lang w:eastAsia="zh-CN"/>
        </w:rPr>
        <w:t>不动产，要坚</w:t>
      </w:r>
      <w:r>
        <w:rPr>
          <w:rFonts w:hint="eastAsia" w:ascii="仿宋_GB2312" w:hAnsi="仿宋" w:eastAsia="仿宋_GB2312" w:cs="Times New Roman"/>
          <w:snapToGrid/>
          <w:color w:val="000000"/>
          <w:sz w:val="32"/>
          <w:szCs w:val="32"/>
          <w:lang w:eastAsia="zh-CN"/>
        </w:rPr>
        <w:t>持社会效益优先，首先满足</w:t>
      </w:r>
      <w:r>
        <w:rPr>
          <w:rFonts w:hint="eastAsia" w:ascii="仿宋_GB2312" w:hAnsi="仿宋" w:eastAsia="仿宋_GB2312" w:cs="Arial"/>
          <w:snapToGrid/>
          <w:color w:val="000000" w:themeColor="text1"/>
          <w:sz w:val="32"/>
          <w:szCs w:val="32"/>
          <w:lang w:eastAsia="zh-CN"/>
          <w14:textFill>
            <w14:solidFill>
              <w14:schemeClr w14:val="tx1"/>
            </w14:solidFill>
          </w14:textFill>
        </w:rPr>
        <w:t>教育系统内部调整使用。对建筑质量较好，产权属于国有资产的闲置校园校舍，优先用于教育事业，如：调整用于学前教育、职业教育、中小学实践活动基地、教师周转用房等。教育系统不再使用的闲置校园校舍，应根据其使用特点，与所在地乡（镇）政府和村委会协商，调整用于留守儿童活动室、乡村养老院、文化站、农村社区服务设施等农村公益性事业。要充分考虑现有教育需求及前瞻预留教育发展空间，寻求最合理的利用方式。</w:t>
      </w:r>
    </w:p>
    <w:p w14:paraId="01D58A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仿宋_GB2312"/>
          <w:snapToGrid/>
          <w:color w:val="000000"/>
          <w:sz w:val="32"/>
          <w:szCs w:val="32"/>
          <w:lang w:val="zh-CN" w:eastAsia="zh-CN"/>
        </w:rPr>
      </w:pPr>
      <w:r>
        <w:rPr>
          <w:rFonts w:hint="eastAsia" w:ascii="黑体" w:hAnsi="黑体" w:eastAsia="黑体" w:cs="仿宋_GB2312"/>
          <w:snapToGrid/>
          <w:color w:val="000000"/>
          <w:sz w:val="32"/>
          <w:szCs w:val="32"/>
          <w:lang w:eastAsia="zh-CN"/>
        </w:rPr>
        <w:t>三</w:t>
      </w:r>
      <w:r>
        <w:rPr>
          <w:rFonts w:hint="eastAsia" w:ascii="黑体" w:hAnsi="黑体" w:eastAsia="黑体" w:cs="仿宋_GB2312"/>
          <w:snapToGrid/>
          <w:color w:val="000000"/>
          <w:sz w:val="32"/>
          <w:szCs w:val="32"/>
          <w:lang w:val="zh-CN" w:eastAsia="zh-CN"/>
        </w:rPr>
        <w:t>、闲置校产处置利用措施</w:t>
      </w:r>
    </w:p>
    <w:p w14:paraId="4D0335A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（一）闲置校舍综合利用。</w:t>
      </w:r>
      <w:r>
        <w:rPr>
          <w:rFonts w:hint="eastAsia" w:ascii="仿宋_GB2312" w:hAnsi="仿宋" w:eastAsia="仿宋_GB2312" w:cs="Arial"/>
          <w:color w:val="000000" w:themeColor="text1"/>
          <w:sz w:val="32"/>
          <w:szCs w:val="32"/>
          <w:lang w:val="en-US" w:eastAsia="zh-CN" w:bidi="ar-SA"/>
          <w14:textFill>
            <w14:solidFill>
              <w14:schemeClr w14:val="tx1"/>
            </w14:solidFill>
          </w14:textFill>
        </w:rPr>
        <w:t>必须履行相关审批手续，对于产权明晰、手续齐全的闲置校舍先行予以利用；对于长期归教育部门使用，但由于历史原因造成土地、房屋等产权手续不完整的校舍，应明确产权，完善手续，之后加以利用。对于产权明确为国有且不再使用的闲置校舍，依法通过资产评估后，按照《事业单位国有资产管理暂行办法》（财政部令第36号）等有关规定的程序和要求进行公开处置。</w:t>
      </w:r>
    </w:p>
    <w:p w14:paraId="6CFD9B7B">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（二）置换、变卖、出租。</w:t>
      </w:r>
      <w:r>
        <w:rPr>
          <w:rFonts w:ascii="仿宋_GB2312" w:hAnsi="仿宋" w:eastAsia="仿宋_GB2312" w:cs="Arial"/>
          <w:color w:val="000000" w:themeColor="text1"/>
          <w:sz w:val="32"/>
          <w:szCs w:val="32"/>
          <w:lang w:val="en-US" w:eastAsia="zh-CN" w:bidi="ar-SA"/>
          <w14:textFill>
            <w14:solidFill>
              <w14:schemeClr w14:val="tx1"/>
            </w14:solidFill>
          </w14:textFill>
        </w:rPr>
        <w:t>对已明确产权归属，且不适合用于教育等农村公益事业的闲置校园校舍，可以通过清产核资或资产评估后，按照公开、公正、竞价的原则，由具有法定资质的招标代理机构按法定程序进行置换、变卖，也可以依法出租，所得收益根据闲置校园校舍的产权归属进行分配。国有资产收益归相应乡（镇）政府，农村集体资产收益归农村集体；置换、变卖、出租中的国有资产收益统筹用于教育等公益事业。</w:t>
      </w:r>
    </w:p>
    <w:p w14:paraId="238CFD3B">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（三）教育优先。</w:t>
      </w:r>
      <w:r>
        <w:rPr>
          <w:rFonts w:hint="eastAsia" w:ascii="仿宋_GB2312" w:hAnsi="仿宋" w:eastAsia="仿宋_GB2312" w:cs="Arial"/>
          <w:color w:val="000000" w:themeColor="text1"/>
          <w:sz w:val="32"/>
          <w:szCs w:val="32"/>
          <w:lang w:val="en-US" w:eastAsia="zh-CN" w:bidi="ar-SA"/>
          <w14:textFill>
            <w14:solidFill>
              <w14:schemeClr w14:val="tx1"/>
            </w14:solidFill>
          </w14:textFill>
        </w:rPr>
        <w:t>按照有关规定，闲置校舍要优先用于教育事业发展，继续发挥社会服务功能。对于年久失修，经相关部门鉴定确认为D级危房以及地理位置偏僻，确实无法变卖、转让、移交的中小学闲置校舍，报县政府批准后，予以拆除，消除潜在安全隐患。相应核减固定资产登记，并将相关学校的土地证等证件交由县教体局统一保管。将拆除后的闲置学校土地置换作为教育用地，为学校布局和结构调整预留发展空间。</w:t>
      </w:r>
    </w:p>
    <w:p w14:paraId="10D627F5">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（四）规范划转。</w:t>
      </w:r>
      <w:r>
        <w:rPr>
          <w:rFonts w:hint="eastAsia" w:ascii="仿宋_GB2312" w:hAnsi="仿宋" w:eastAsia="仿宋_GB2312" w:cs="Arial"/>
          <w:color w:val="000000" w:themeColor="text1"/>
          <w:sz w:val="32"/>
          <w:szCs w:val="32"/>
          <w:lang w:val="en-US" w:eastAsia="zh-CN" w:bidi="ar-SA"/>
          <w14:textFill>
            <w14:solidFill>
              <w14:schemeClr w14:val="tx1"/>
            </w14:solidFill>
          </w14:textFill>
        </w:rPr>
        <w:t>对于无法按照上述方式进行处置的闲置可用校舍，原则上划转到乡（镇）政府或村委会作为集体财产管理使用。</w:t>
      </w:r>
    </w:p>
    <w:p w14:paraId="306846D2">
      <w:pPr>
        <w:keepNext w:val="0"/>
        <w:keepLines w:val="0"/>
        <w:pageBreakBefore w:val="0"/>
        <w:wordWrap/>
        <w:overflowPunct/>
        <w:topLinePunct w:val="0"/>
        <w:bidi w:val="0"/>
        <w:adjustRightInd w:val="0"/>
        <w:snapToGrid w:val="0"/>
        <w:spacing w:line="560" w:lineRule="exact"/>
        <w:ind w:firstLine="579" w:firstLineChars="181"/>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四、工作要求</w:t>
      </w:r>
    </w:p>
    <w:p w14:paraId="457B4875">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（一）成立工作小组。</w:t>
      </w:r>
      <w:r>
        <w:rPr>
          <w:rFonts w:hint="eastAsia" w:ascii="仿宋_GB2312" w:hAnsi="仿宋" w:eastAsia="仿宋_GB2312" w:cs="Arial"/>
          <w:color w:val="000000" w:themeColor="text1"/>
          <w:sz w:val="32"/>
          <w:szCs w:val="32"/>
          <w:lang w:val="en-US" w:eastAsia="zh-CN" w:bidi="ar-SA"/>
          <w14:textFill>
            <w14:solidFill>
              <w14:schemeClr w14:val="tx1"/>
            </w14:solidFill>
          </w14:textFill>
        </w:rPr>
        <w:t>由分管教育的副县长任组长，县发改委、县教体局、县财政局、县自然资源局、县住建局、县审计局等部门负责人为成员的闲置校园校舍处置工作领导小组，负责闲置校园校舍的排查、清理、质量鉴定、登记造册、规划利用，土地、房屋所有权和使用权的核实、评估和确认，以及对处置情况的监督检查。</w:t>
      </w:r>
    </w:p>
    <w:p w14:paraId="6AB08C1A">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（二）落实优惠政策。</w:t>
      </w:r>
      <w:r>
        <w:rPr>
          <w:rFonts w:hint="eastAsia" w:ascii="仿宋_GB2312" w:hAnsi="仿宋" w:eastAsia="仿宋_GB2312" w:cs="Arial"/>
          <w:color w:val="000000" w:themeColor="text1"/>
          <w:sz w:val="32"/>
          <w:szCs w:val="32"/>
          <w:lang w:val="en-US" w:eastAsia="zh-CN" w:bidi="ar-SA"/>
          <w14:textFill>
            <w14:solidFill>
              <w14:schemeClr w14:val="tx1"/>
            </w14:solidFill>
          </w14:textFill>
        </w:rPr>
        <w:t>闲置校园校舍在明确所有权、使用权后要按照简化手续、减免费用的原则，结合当前开展的农村集体土地确权和登记发证工作，尽快补办有关权证。闲置校园校舍在置换、出售出让、出租过程中，有关部门应根据国家有关法律法规减免有关费用。</w:t>
      </w:r>
    </w:p>
    <w:p w14:paraId="1FE08DC1">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（三）评估鉴定。</w:t>
      </w:r>
      <w:r>
        <w:rPr>
          <w:rFonts w:hint="eastAsia" w:ascii="仿宋_GB2312" w:hAnsi="仿宋" w:eastAsia="仿宋_GB2312" w:cs="Arial"/>
          <w:color w:val="auto"/>
          <w:sz w:val="32"/>
          <w:szCs w:val="32"/>
          <w:lang w:val="en-US" w:eastAsia="zh-CN" w:bidi="ar-SA"/>
        </w:rPr>
        <w:t>县发改委、县财政局、县自然资源局、县住建局、县审计局等</w:t>
      </w:r>
      <w:r>
        <w:rPr>
          <w:rFonts w:hint="eastAsia" w:ascii="仿宋_GB2312" w:hAnsi="仿宋" w:eastAsia="仿宋_GB2312" w:cs="Arial"/>
          <w:color w:val="000000" w:themeColor="text1"/>
          <w:sz w:val="32"/>
          <w:szCs w:val="32"/>
          <w:lang w:val="en-US" w:eastAsia="zh-CN" w:bidi="ar-SA"/>
          <w14:textFill>
            <w14:solidFill>
              <w14:schemeClr w14:val="tx1"/>
            </w14:solidFill>
          </w14:textFill>
        </w:rPr>
        <w:t>部门要按照土地、校舍管理的有关规定，负责闲置校舍再利用工作的资产评估确权、资产审计、房屋安全鉴定、危房拆除、教育用地储备、资产划转等工作。   </w:t>
      </w:r>
    </w:p>
    <w:p w14:paraId="1EF4D6A6">
      <w:pPr>
        <w:keepNext w:val="0"/>
        <w:keepLines w:val="0"/>
        <w:pageBreakBefore w:val="0"/>
        <w:wordWrap/>
        <w:overflowPunct/>
        <w:topLinePunct w:val="0"/>
        <w:bidi w:val="0"/>
        <w:adjustRightInd w:val="0"/>
        <w:snapToGrid w:val="0"/>
        <w:spacing w:line="560" w:lineRule="exact"/>
        <w:ind w:firstLine="581" w:firstLineChars="181"/>
        <w:rPr>
          <w:rFonts w:hint="eastAsia"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auto"/>
          <w:sz w:val="32"/>
          <w:szCs w:val="32"/>
          <w:lang w:val="en-US" w:eastAsia="zh-CN" w:bidi="ar-SA"/>
        </w:rPr>
        <w:t>（四）合理处置。</w:t>
      </w:r>
      <w:r>
        <w:rPr>
          <w:rFonts w:hint="eastAsia" w:ascii="仿宋_GB2312" w:hAnsi="仿宋" w:eastAsia="仿宋_GB2312" w:cs="Arial"/>
          <w:color w:val="000000" w:themeColor="text1"/>
          <w:sz w:val="32"/>
          <w:szCs w:val="32"/>
          <w:lang w:val="en-US" w:eastAsia="zh-CN" w:bidi="ar-SA"/>
          <w14:textFill>
            <w14:solidFill>
              <w14:schemeClr w14:val="tx1"/>
            </w14:solidFill>
          </w14:textFill>
        </w:rPr>
        <w:t>各乡（镇）要深入调研，详尽掌握闲置校舍的校园占地面积和建筑面积、结构形式、新旧程度等，提出闲置校舍处置的初步意见，报县闲置校舍处置工作领导小组研究确定闲置校舍的再利用方式。</w:t>
      </w:r>
    </w:p>
    <w:p w14:paraId="5C12052B">
      <w:pPr>
        <w:keepNext w:val="0"/>
        <w:keepLines w:val="0"/>
        <w:pageBreakBefore w:val="0"/>
        <w:wordWrap/>
        <w:overflowPunct/>
        <w:topLinePunct w:val="0"/>
        <w:bidi w:val="0"/>
        <w:adjustRightInd w:val="0"/>
        <w:snapToGrid w:val="0"/>
        <w:spacing w:line="560" w:lineRule="exact"/>
        <w:ind w:firstLine="581" w:firstLineChars="181"/>
        <w:rPr>
          <w:rFonts w:ascii="仿宋_GB2312" w:hAnsi="仿宋" w:eastAsia="仿宋_GB2312" w:cs="Arial"/>
          <w:color w:val="000000" w:themeColor="text1"/>
          <w:sz w:val="32"/>
          <w:szCs w:val="32"/>
          <w:lang w:val="en-US" w:eastAsia="zh-CN" w:bidi="ar-SA"/>
          <w14:textFill>
            <w14:solidFill>
              <w14:schemeClr w14:val="tx1"/>
            </w14:solidFill>
          </w14:textFill>
        </w:rPr>
      </w:pPr>
      <w:r>
        <w:rPr>
          <w:rFonts w:hint="eastAsia" w:ascii="楷体" w:hAnsi="楷体" w:eastAsia="楷体" w:cs="楷体"/>
          <w:b/>
          <w:bCs/>
          <w:color w:val="000000" w:themeColor="text1"/>
          <w:sz w:val="32"/>
          <w:szCs w:val="32"/>
          <w:lang w:val="en-US" w:eastAsia="zh-CN" w:bidi="ar-SA"/>
          <w14:textFill>
            <w14:solidFill>
              <w14:schemeClr w14:val="tx1"/>
            </w14:solidFill>
          </w14:textFill>
        </w:rPr>
        <w:t>（五）加强监管。</w:t>
      </w:r>
      <w:r>
        <w:rPr>
          <w:rFonts w:hint="eastAsia" w:ascii="仿宋_GB2312" w:hAnsi="仿宋" w:eastAsia="仿宋_GB2312" w:cs="Arial"/>
          <w:color w:val="000000" w:themeColor="text1"/>
          <w:sz w:val="32"/>
          <w:szCs w:val="32"/>
          <w:lang w:val="en-US" w:eastAsia="zh-CN" w:bidi="ar-SA"/>
          <w14:textFill>
            <w14:solidFill>
              <w14:schemeClr w14:val="tx1"/>
            </w14:solidFill>
          </w14:textFill>
        </w:rPr>
        <w:t>对于不按审报程序、暗箱操作处置资产和将闲置资产处置收益用于发放福利、奖金、津贴或者挪作他用的，按照有关规定，严肃追究有关人员的责任。</w:t>
      </w:r>
    </w:p>
    <w:p w14:paraId="130BAF00">
      <w:pPr>
        <w:keepNext w:val="0"/>
        <w:keepLines w:val="0"/>
        <w:pageBreakBefore w:val="0"/>
        <w:wordWrap/>
        <w:overflowPunct/>
        <w:topLinePunct w:val="0"/>
        <w:bidi w:val="0"/>
        <w:adjustRightInd w:val="0"/>
        <w:snapToGrid w:val="0"/>
        <w:spacing w:line="560" w:lineRule="exact"/>
        <w:ind w:firstLine="581" w:firstLineChars="181"/>
        <w:rPr>
          <w:rFonts w:ascii="Times New Roman" w:hAnsi="Times New Roman" w:eastAsia="仿宋_GB2312" w:cs="Times New Roman"/>
          <w:sz w:val="32"/>
          <w:szCs w:val="32"/>
          <w:lang w:eastAsia="zh-CN"/>
        </w:rPr>
      </w:pPr>
      <w:r>
        <w:rPr>
          <w:rFonts w:hint="eastAsia" w:ascii="楷体" w:hAnsi="楷体" w:eastAsia="楷体" w:cs="楷体"/>
          <w:b/>
          <w:bCs/>
          <w:color w:val="000000" w:themeColor="text1"/>
          <w:sz w:val="32"/>
          <w:szCs w:val="32"/>
          <w:lang w:val="en-US" w:eastAsia="zh-CN" w:bidi="ar-SA"/>
          <w14:textFill>
            <w14:solidFill>
              <w14:schemeClr w14:val="tx1"/>
            </w14:solidFill>
          </w14:textFill>
        </w:rPr>
        <w:t>（六）广泛宣传。</w:t>
      </w:r>
      <w:r>
        <w:rPr>
          <w:rFonts w:hint="eastAsia" w:ascii="仿宋_GB2312" w:hAnsi="仿宋" w:eastAsia="仿宋_GB2312" w:cs="Arial"/>
          <w:color w:val="000000" w:themeColor="text1"/>
          <w:sz w:val="32"/>
          <w:szCs w:val="32"/>
          <w:lang w:val="en-US" w:eastAsia="zh-CN" w:bidi="ar-SA"/>
          <w14:textFill>
            <w14:solidFill>
              <w14:schemeClr w14:val="tx1"/>
            </w14:solidFill>
          </w14:textFill>
        </w:rPr>
        <w:t>在综合利用闲置校舍工作中，要做好宣传工作，多方面征求意见，取得群众的理解和支持，避免新的矛盾和纠纷。</w:t>
      </w:r>
      <w:r>
        <w:rPr>
          <w:sz w:val="32"/>
        </w:rPr>
        <mc:AlternateContent>
          <mc:Choice Requires="wps">
            <w:drawing>
              <wp:anchor distT="0" distB="0" distL="114300" distR="114300" simplePos="0" relativeHeight="251664384" behindDoc="0" locked="0" layoutInCell="1" allowOverlap="1">
                <wp:simplePos x="0" y="0"/>
                <wp:positionH relativeFrom="column">
                  <wp:posOffset>5118100</wp:posOffset>
                </wp:positionH>
                <wp:positionV relativeFrom="paragraph">
                  <wp:posOffset>711835</wp:posOffset>
                </wp:positionV>
                <wp:extent cx="782955" cy="476250"/>
                <wp:effectExtent l="0" t="0" r="0" b="0"/>
                <wp:wrapNone/>
                <wp:docPr id="24" name="矩形 24"/>
                <wp:cNvGraphicFramePr/>
                <a:graphic xmlns:a="http://schemas.openxmlformats.org/drawingml/2006/main">
                  <a:graphicData uri="http://schemas.microsoft.com/office/word/2010/wordprocessingShape">
                    <wps:wsp>
                      <wps:cNvSpPr/>
                      <wps:spPr>
                        <a:xfrm>
                          <a:off x="0" y="0"/>
                          <a:ext cx="782955" cy="476250"/>
                        </a:xfrm>
                        <a:prstGeom prst="rect">
                          <a:avLst/>
                        </a:prstGeom>
                        <a:noFill/>
                        <a:ln w="25400" cap="flat" cmpd="sng" algn="ctr">
                          <a:noFill/>
                          <a:prstDash val="solid"/>
                        </a:ln>
                        <a:effectLst/>
                      </wps:spPr>
                      <wps:txbx>
                        <w:txbxContent>
                          <w:p w14:paraId="62AC2781">
                            <w:pPr>
                              <w:jc w:val="center"/>
                              <w:rPr>
                                <w:rFonts w:ascii="Times New Roman" w:hAnsi="Times New Roman" w:eastAsia="宋体" w:cs="Times New Roman"/>
                                <w:sz w:val="28"/>
                                <w:szCs w:val="2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3pt;margin-top:56.05pt;height:37.5pt;width:61.65pt;z-index:251664384;v-text-anchor:middle;mso-width-relative:page;mso-height-relative:page;" filled="f" stroked="f" coordsize="21600,21600" o:gfxdata="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jDa&#10;TdkAAAALAQAADwAAAAAAAAABACAAAAAiAAAAZHJzL2Rvd25yZXYueG1sUEsBAhQAFAAAAAgAh07i&#10;QPFaoNdaAgAApQQAAA4AAAAAAAAAAQAgAAAAKAEAAGRycy9lMm9Eb2MueG1sUEsFBgAAAAAGAAYA&#10;WQEAAPQFAAAAAA==&#10;">
                <v:fill on="f" focussize="0,0"/>
                <v:stroke on="f" weight="2pt"/>
                <v:imagedata o:title=""/>
                <o:lock v:ext="edit" aspectratio="f"/>
                <v:textbox>
                  <w:txbxContent>
                    <w:p w14:paraId="62AC2781">
                      <w:pPr>
                        <w:jc w:val="center"/>
                        <w:rPr>
                          <w:rFonts w:ascii="Times New Roman" w:hAnsi="Times New Roman" w:eastAsia="宋体" w:cs="Times New Roman"/>
                          <w:sz w:val="28"/>
                          <w:szCs w:val="28"/>
                          <w:lang w:eastAsia="zh-CN"/>
                        </w:rPr>
                      </w:pPr>
                    </w:p>
                  </w:txbxContent>
                </v:textbox>
              </v:rect>
            </w:pict>
          </mc:Fallback>
        </mc:AlternateContent>
      </w:r>
    </w:p>
    <w:sectPr>
      <w:pgSz w:w="11905" w:h="16838"/>
      <w:pgMar w:top="1587" w:right="1587" w:bottom="1587" w:left="1587" w:header="0" w:footer="981"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7D2F">
    <w:pPr>
      <w:spacing w:line="177" w:lineRule="auto"/>
      <w:ind w:left="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E3923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- 16 -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78E3923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- 16 -</w:t>
                    </w:r>
                    <w:r>
                      <w:rPr>
                        <w:rFonts w:ascii="Times New Roman" w:hAnsi="Times New Roman" w:cs="Times New Roman"/>
                        <w:sz w:val="28"/>
                        <w:szCs w:val="28"/>
                      </w:rPr>
                      <w:fldChar w:fldCharType="end"/>
                    </w:r>
                  </w:p>
                </w:txbxContent>
              </v:textbox>
            </v:shape>
          </w:pict>
        </mc:Fallback>
      </mc:AlternateContent>
    </w:r>
    <w:r>
      <w:rPr>
        <w:rFonts w:ascii="宋体" w:hAnsi="宋体" w:eastAsia="宋体" w:cs="宋体"/>
        <w:spacing w:val="3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4DE7">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4617FC">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e3YN01AEAAKUDAAAOAAAAAAAAAAEAIAAAAB8B&#10;AABkcnMvZTJvRG9jLnhtbFBLBQYAAAAABgAGAFkBAABlBQAAAAA=&#10;">
              <v:fill on="f" focussize="0,0"/>
              <v:stroke on="f" weight="0.5pt"/>
              <v:imagedata o:title=""/>
              <o:lock v:ext="edit" aspectratio="f"/>
              <v:textbox inset="0mm,0mm,0mm,0mm" style="mso-fit-shape-to-text:t;">
                <w:txbxContent>
                  <w:p w14:paraId="614617FC">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565B">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47752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477520"/>
                      </a:xfrm>
                      <a:prstGeom prst="rect">
                        <a:avLst/>
                      </a:prstGeom>
                      <a:noFill/>
                      <a:ln w="6350">
                        <a:noFill/>
                      </a:ln>
                    </wps:spPr>
                    <wps:txbx>
                      <w:txbxContent>
                        <w:p w14:paraId="3B6D4FF9">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- 25 -</w:t>
                          </w:r>
                          <w:r>
                            <w:rPr>
                              <w:rFonts w:ascii="Times New Roman" w:hAnsi="Times New Roman" w:cs="Times New Roman"/>
                              <w:sz w:val="28"/>
                              <w:szCs w:val="28"/>
                            </w:rPr>
                            <w:fldChar w:fldCharType="end"/>
                          </w:r>
                        </w:p>
                      </w:txbxContent>
                    </wps:txbx>
                    <wps:bodyPr wrap="none" lIns="0" tIns="0" rIns="0" bIns="0" upright="1"/>
                  </wps:wsp>
                </a:graphicData>
              </a:graphic>
            </wp:anchor>
          </w:drawing>
        </mc:Choice>
        <mc:Fallback>
          <w:pict>
            <v:shape id="文本框 1027" o:spid="_x0000_s1026" o:spt="202" type="#_x0000_t202" style="position:absolute;left:0pt;margin-top:0pt;height:37.6pt;width:144pt;mso-position-horizontal:outside;mso-position-horizontal-relative:margin;mso-wrap-style:none;z-index:251662336;mso-width-relative:page;mso-height-relative:page;" filled="f" stroked="f" coordsize="21600,21600" o:gfxdata="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FGU21AAAAAQBAAAPAAAAAAAAAAEAIAAAACIAAABkcnMv&#10;ZG93bnJldi54bWxQSwECFAAUAAAACACHTuJAgEmwnc4BAACKAwAADgAAAAAAAAABACAAAAAjAQAA&#10;ZHJzL2Uyb0RvYy54bWxQSwUGAAAAAAYABgBZAQAAYwUAAAAA&#10;">
              <v:fill on="f" focussize="0,0"/>
              <v:stroke on="f" weight="0.5pt"/>
              <v:imagedata o:title=""/>
              <o:lock v:ext="edit" aspectratio="f"/>
              <v:textbox inset="0mm,0mm,0mm,0mm">
                <w:txbxContent>
                  <w:p w14:paraId="3B6D4FF9">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- 25 -</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61CA">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91ED99">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- 26 -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&#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NZ3d21AEAAKUDAAAOAAAAAAAAAAEAIAAAAB8B&#10;AABkcnMvZTJvRG9jLnhtbFBLBQYAAAAABgAGAFkBAABlBQAAAAA=&#10;">
              <v:fill on="f" focussize="0,0"/>
              <v:stroke on="f" weight="0.5pt"/>
              <v:imagedata o:title=""/>
              <o:lock v:ext="edit" aspectratio="f"/>
              <v:textbox inset="0mm,0mm,0mm,0mm" style="mso-fit-shape-to-text:t;">
                <w:txbxContent>
                  <w:p w14:paraId="6F91ED99">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- 26 -</w:t>
                    </w:r>
                    <w:r>
                      <w:rPr>
                        <w:rFonts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032D">
    <w:pPr>
      <w:pStyle w:val="9"/>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BD59E0">
                          <w:pPr>
                            <w:pStyle w:val="9"/>
                          </w:pPr>
                          <w:r>
                            <w:fldChar w:fldCharType="begin"/>
                          </w:r>
                          <w:r>
                            <w:instrText xml:space="preserve"> PAGE  \* MERGEFORMAT </w:instrText>
                          </w:r>
                          <w:r>
                            <w:fldChar w:fldCharType="separate"/>
                          </w:r>
                          <w:r>
                            <w:t>- 41 -</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0RdDTAQAApQMAAA4AAABkcnMvZTJvRG9jLnhtbK1TzY7TMBC+I/EO&#10;lu80aRGrEj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S3L&#10;1eukUB+wosL7QKVxeOuHVD3FkYKJ+NCCTV+ixChP+p6v+qohMpkurVfrdUkpSbnZIZzi4XoAjO+U&#10;tywZNQd6wKyrOH3AOJbOJamb83faGIqLyjjW1/zm5asyX7hmCNw46pFIjMMmKw77YWKw982ZiPW0&#10;BDV3tPOcmfeONE77MhswG/vZOAbQh45mXOZ+GN4cI02Th0wdRtipMb1epjltWlqPv/1c9fB3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U0RdDTAQAApQMAAA4AAAAAAAAAAQAgAAAAHwEA&#10;AGRycy9lMm9Eb2MueG1sUEsFBgAAAAAGAAYAWQEAAGQFAAAAAA==&#10;">
              <v:fill on="f" focussize="0,0"/>
              <v:stroke on="f" weight="0.5pt"/>
              <v:imagedata o:title=""/>
              <o:lock v:ext="edit" aspectratio="f"/>
              <v:textbox inset="0mm,0mm,0mm,0mm" style="mso-fit-shape-to-text:t;">
                <w:txbxContent>
                  <w:p w14:paraId="48BD59E0">
                    <w:pPr>
                      <w:pStyle w:val="9"/>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E3C8">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CDF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B60E9"/>
    <w:multiLevelType w:val="singleLevel"/>
    <w:tmpl w:val="9EFB60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TBmMjM5ZTZhYTdhYTkyOGZjM2I3MDdhZWIyOGMifQ=="/>
    <w:docVar w:name="KSO_WPS_MARK_KEY" w:val="c6da9e39-3ff6-409a-8438-1d118e36dbb0"/>
  </w:docVars>
  <w:rsids>
    <w:rsidRoot w:val="00E77C5F"/>
    <w:rsid w:val="000172EE"/>
    <w:rsid w:val="003A47F7"/>
    <w:rsid w:val="003E24C0"/>
    <w:rsid w:val="003E4CB2"/>
    <w:rsid w:val="00421419"/>
    <w:rsid w:val="004376C8"/>
    <w:rsid w:val="0051790B"/>
    <w:rsid w:val="005A579D"/>
    <w:rsid w:val="0074302F"/>
    <w:rsid w:val="00961B00"/>
    <w:rsid w:val="00B35A90"/>
    <w:rsid w:val="00C966C0"/>
    <w:rsid w:val="00E77C5F"/>
    <w:rsid w:val="00EC2B1D"/>
    <w:rsid w:val="01EB504C"/>
    <w:rsid w:val="033514A1"/>
    <w:rsid w:val="03DA5004"/>
    <w:rsid w:val="0425514B"/>
    <w:rsid w:val="04EE6171"/>
    <w:rsid w:val="05487EA5"/>
    <w:rsid w:val="05E05ABA"/>
    <w:rsid w:val="05E8769B"/>
    <w:rsid w:val="06E50328"/>
    <w:rsid w:val="07AD4B1D"/>
    <w:rsid w:val="08294536"/>
    <w:rsid w:val="08C276F9"/>
    <w:rsid w:val="08C3775B"/>
    <w:rsid w:val="094B5E9A"/>
    <w:rsid w:val="09CB082F"/>
    <w:rsid w:val="0A8E792F"/>
    <w:rsid w:val="0AFE18F0"/>
    <w:rsid w:val="0B530360"/>
    <w:rsid w:val="0B903ADE"/>
    <w:rsid w:val="0BC05409"/>
    <w:rsid w:val="0BCD6AE0"/>
    <w:rsid w:val="0BEB233E"/>
    <w:rsid w:val="0BEC251F"/>
    <w:rsid w:val="0CC827E7"/>
    <w:rsid w:val="0D3C2A57"/>
    <w:rsid w:val="0F21718D"/>
    <w:rsid w:val="0FCF19C1"/>
    <w:rsid w:val="11486FD1"/>
    <w:rsid w:val="11BA3663"/>
    <w:rsid w:val="1233190C"/>
    <w:rsid w:val="12456514"/>
    <w:rsid w:val="12745F08"/>
    <w:rsid w:val="12767ED2"/>
    <w:rsid w:val="12855353"/>
    <w:rsid w:val="12C20E6F"/>
    <w:rsid w:val="14746C75"/>
    <w:rsid w:val="149B1255"/>
    <w:rsid w:val="14D02078"/>
    <w:rsid w:val="151E65FF"/>
    <w:rsid w:val="155059CC"/>
    <w:rsid w:val="18042206"/>
    <w:rsid w:val="182E4DAB"/>
    <w:rsid w:val="1850266E"/>
    <w:rsid w:val="18A1557C"/>
    <w:rsid w:val="18BF3824"/>
    <w:rsid w:val="18D03BC3"/>
    <w:rsid w:val="18D74616"/>
    <w:rsid w:val="19410B0E"/>
    <w:rsid w:val="195E6FCA"/>
    <w:rsid w:val="1ACB68E1"/>
    <w:rsid w:val="1AE353C6"/>
    <w:rsid w:val="1B222279"/>
    <w:rsid w:val="1B2C02F3"/>
    <w:rsid w:val="1BD87507"/>
    <w:rsid w:val="1C323B25"/>
    <w:rsid w:val="1C823B1E"/>
    <w:rsid w:val="1D65301C"/>
    <w:rsid w:val="1F316202"/>
    <w:rsid w:val="1F5B02C8"/>
    <w:rsid w:val="20070A01"/>
    <w:rsid w:val="20931F99"/>
    <w:rsid w:val="209B0B03"/>
    <w:rsid w:val="215E4D33"/>
    <w:rsid w:val="216655B5"/>
    <w:rsid w:val="223C590D"/>
    <w:rsid w:val="23086AAC"/>
    <w:rsid w:val="231F71F7"/>
    <w:rsid w:val="23741BBE"/>
    <w:rsid w:val="25F74A2E"/>
    <w:rsid w:val="2624159B"/>
    <w:rsid w:val="262F4E09"/>
    <w:rsid w:val="267A03C2"/>
    <w:rsid w:val="28FB808D"/>
    <w:rsid w:val="29355772"/>
    <w:rsid w:val="2A467D32"/>
    <w:rsid w:val="2ACC158E"/>
    <w:rsid w:val="2C1242D9"/>
    <w:rsid w:val="2CBD6A6F"/>
    <w:rsid w:val="2E767FDA"/>
    <w:rsid w:val="2EB60319"/>
    <w:rsid w:val="2F7553E7"/>
    <w:rsid w:val="30224783"/>
    <w:rsid w:val="308E2433"/>
    <w:rsid w:val="30EE14B3"/>
    <w:rsid w:val="31AD12EB"/>
    <w:rsid w:val="31EB07E1"/>
    <w:rsid w:val="3315322A"/>
    <w:rsid w:val="33F2156F"/>
    <w:rsid w:val="340B3B1E"/>
    <w:rsid w:val="342A14F7"/>
    <w:rsid w:val="34CE5C2A"/>
    <w:rsid w:val="35044A71"/>
    <w:rsid w:val="35A076F0"/>
    <w:rsid w:val="363336F8"/>
    <w:rsid w:val="36E763F9"/>
    <w:rsid w:val="37265207"/>
    <w:rsid w:val="375C4E7C"/>
    <w:rsid w:val="378C4B33"/>
    <w:rsid w:val="387F6FA1"/>
    <w:rsid w:val="3881642C"/>
    <w:rsid w:val="3912701A"/>
    <w:rsid w:val="39D44995"/>
    <w:rsid w:val="3A3A2CE3"/>
    <w:rsid w:val="3A916DA7"/>
    <w:rsid w:val="3AC60E46"/>
    <w:rsid w:val="3AECC29F"/>
    <w:rsid w:val="3B295232"/>
    <w:rsid w:val="3B59178B"/>
    <w:rsid w:val="3B716BD9"/>
    <w:rsid w:val="3C502C92"/>
    <w:rsid w:val="3D385850"/>
    <w:rsid w:val="3D5A0641"/>
    <w:rsid w:val="3D7B5AED"/>
    <w:rsid w:val="3F0E4029"/>
    <w:rsid w:val="3FEC7F76"/>
    <w:rsid w:val="40847BE2"/>
    <w:rsid w:val="408D13F1"/>
    <w:rsid w:val="40FA6D6F"/>
    <w:rsid w:val="41661429"/>
    <w:rsid w:val="423F712C"/>
    <w:rsid w:val="429317F9"/>
    <w:rsid w:val="43AD686A"/>
    <w:rsid w:val="43D2242C"/>
    <w:rsid w:val="44214C7B"/>
    <w:rsid w:val="449C2516"/>
    <w:rsid w:val="44B301CE"/>
    <w:rsid w:val="45156AE7"/>
    <w:rsid w:val="46562811"/>
    <w:rsid w:val="46752F2D"/>
    <w:rsid w:val="46BE12AD"/>
    <w:rsid w:val="46C0348B"/>
    <w:rsid w:val="47A125F4"/>
    <w:rsid w:val="47D57EB9"/>
    <w:rsid w:val="48C468A9"/>
    <w:rsid w:val="491D727D"/>
    <w:rsid w:val="494255E9"/>
    <w:rsid w:val="497D7BB3"/>
    <w:rsid w:val="49DE18DD"/>
    <w:rsid w:val="4A930919"/>
    <w:rsid w:val="4AF8077D"/>
    <w:rsid w:val="4AFD64BB"/>
    <w:rsid w:val="4B447E66"/>
    <w:rsid w:val="4BE43C24"/>
    <w:rsid w:val="4BEC0C9C"/>
    <w:rsid w:val="4C1C1D99"/>
    <w:rsid w:val="4C8A78F4"/>
    <w:rsid w:val="4CBF59F6"/>
    <w:rsid w:val="4D783DF7"/>
    <w:rsid w:val="4E0E51DA"/>
    <w:rsid w:val="4E4C2032"/>
    <w:rsid w:val="4EF146D7"/>
    <w:rsid w:val="4FC72ED5"/>
    <w:rsid w:val="4FE73EE1"/>
    <w:rsid w:val="502277EA"/>
    <w:rsid w:val="50812FC2"/>
    <w:rsid w:val="50A67D84"/>
    <w:rsid w:val="50E964DB"/>
    <w:rsid w:val="52320A18"/>
    <w:rsid w:val="52374280"/>
    <w:rsid w:val="52392BB8"/>
    <w:rsid w:val="533D574E"/>
    <w:rsid w:val="54440AEC"/>
    <w:rsid w:val="55B27384"/>
    <w:rsid w:val="55E464CD"/>
    <w:rsid w:val="56A7237F"/>
    <w:rsid w:val="572F19CA"/>
    <w:rsid w:val="575944C6"/>
    <w:rsid w:val="57C27F27"/>
    <w:rsid w:val="585711D8"/>
    <w:rsid w:val="59CC26D9"/>
    <w:rsid w:val="5A0C401F"/>
    <w:rsid w:val="5A316275"/>
    <w:rsid w:val="5B173BB7"/>
    <w:rsid w:val="5B2E6A61"/>
    <w:rsid w:val="5B396F1D"/>
    <w:rsid w:val="5C9E1A23"/>
    <w:rsid w:val="5CD31049"/>
    <w:rsid w:val="5CF65A94"/>
    <w:rsid w:val="5DEE12E2"/>
    <w:rsid w:val="5E740652"/>
    <w:rsid w:val="5E8B0258"/>
    <w:rsid w:val="5E9640DD"/>
    <w:rsid w:val="5F9F22F2"/>
    <w:rsid w:val="5FBA0480"/>
    <w:rsid w:val="60D13AF2"/>
    <w:rsid w:val="61524733"/>
    <w:rsid w:val="61C176C2"/>
    <w:rsid w:val="61C45285"/>
    <w:rsid w:val="62753602"/>
    <w:rsid w:val="649AFF1A"/>
    <w:rsid w:val="65230F24"/>
    <w:rsid w:val="66AF7C7C"/>
    <w:rsid w:val="66CC1FFE"/>
    <w:rsid w:val="677067FA"/>
    <w:rsid w:val="67CB3049"/>
    <w:rsid w:val="691C4067"/>
    <w:rsid w:val="6977563F"/>
    <w:rsid w:val="6A371F38"/>
    <w:rsid w:val="6AAD6621"/>
    <w:rsid w:val="6B610944"/>
    <w:rsid w:val="6B901201"/>
    <w:rsid w:val="6BF44838"/>
    <w:rsid w:val="6BFF2955"/>
    <w:rsid w:val="6C8F5FC7"/>
    <w:rsid w:val="6CDF0A98"/>
    <w:rsid w:val="6CFC7A9E"/>
    <w:rsid w:val="6D8E7482"/>
    <w:rsid w:val="6DDB853A"/>
    <w:rsid w:val="6DFFB548"/>
    <w:rsid w:val="6F6A75EB"/>
    <w:rsid w:val="6FA50623"/>
    <w:rsid w:val="7066035C"/>
    <w:rsid w:val="70D036E5"/>
    <w:rsid w:val="71404D7F"/>
    <w:rsid w:val="72165BF1"/>
    <w:rsid w:val="72842A9B"/>
    <w:rsid w:val="72965843"/>
    <w:rsid w:val="732E3B17"/>
    <w:rsid w:val="735D2FC3"/>
    <w:rsid w:val="73B452D9"/>
    <w:rsid w:val="73BED5D7"/>
    <w:rsid w:val="759A518C"/>
    <w:rsid w:val="75E1612D"/>
    <w:rsid w:val="77E16341"/>
    <w:rsid w:val="780F33F3"/>
    <w:rsid w:val="78C935D5"/>
    <w:rsid w:val="796E05A9"/>
    <w:rsid w:val="798C406A"/>
    <w:rsid w:val="79BB0AF8"/>
    <w:rsid w:val="79EB1A11"/>
    <w:rsid w:val="7AD93877"/>
    <w:rsid w:val="7AFF1A4F"/>
    <w:rsid w:val="7B00395B"/>
    <w:rsid w:val="7B7F441F"/>
    <w:rsid w:val="7BE3749B"/>
    <w:rsid w:val="7BFD2A6B"/>
    <w:rsid w:val="7BFF25E9"/>
    <w:rsid w:val="7CDE4695"/>
    <w:rsid w:val="7CFF87FD"/>
    <w:rsid w:val="7D104DC6"/>
    <w:rsid w:val="7D4D3CC8"/>
    <w:rsid w:val="7D983E15"/>
    <w:rsid w:val="7DEE3196"/>
    <w:rsid w:val="7E735385"/>
    <w:rsid w:val="7EEF3F71"/>
    <w:rsid w:val="7F3FD9F4"/>
    <w:rsid w:val="7F7559B6"/>
    <w:rsid w:val="7F7818B1"/>
    <w:rsid w:val="7F865DC9"/>
    <w:rsid w:val="7FDB3C2C"/>
    <w:rsid w:val="7FF74673"/>
    <w:rsid w:val="7FFA01A2"/>
    <w:rsid w:val="7FFB2A58"/>
    <w:rsid w:val="7FFF7EA5"/>
    <w:rsid w:val="8E7CED0F"/>
    <w:rsid w:val="9355EA20"/>
    <w:rsid w:val="ABFF6580"/>
    <w:rsid w:val="B7FF4D79"/>
    <w:rsid w:val="BAF94774"/>
    <w:rsid w:val="BC7FF019"/>
    <w:rsid w:val="BDBCE341"/>
    <w:rsid w:val="BEF7D137"/>
    <w:rsid w:val="BF7C5D05"/>
    <w:rsid w:val="EAEF8820"/>
    <w:rsid w:val="EBFF3ABE"/>
    <w:rsid w:val="ECF1101F"/>
    <w:rsid w:val="EDBF4BF7"/>
    <w:rsid w:val="EF4AC0FD"/>
    <w:rsid w:val="EFFE881A"/>
    <w:rsid w:val="FBBB75A0"/>
    <w:rsid w:val="FCFD3096"/>
    <w:rsid w:val="FDFD0392"/>
    <w:rsid w:val="FEBD75C0"/>
    <w:rsid w:val="FEBE69EE"/>
    <w:rsid w:val="FEDFF7B3"/>
    <w:rsid w:val="FFB750C8"/>
    <w:rsid w:val="FFFFB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eastAsia="仿宋"/>
      <w:sz w:val="32"/>
    </w:rPr>
  </w:style>
  <w:style w:type="paragraph" w:styleId="5">
    <w:name w:val="caption"/>
    <w:basedOn w:val="1"/>
    <w:next w:val="1"/>
    <w:qFormat/>
    <w:uiPriority w:val="35"/>
    <w:pPr>
      <w:kinsoku/>
      <w:autoSpaceDE/>
      <w:autoSpaceDN/>
      <w:adjustRightInd/>
      <w:snapToGrid/>
      <w:spacing w:line="276" w:lineRule="auto"/>
      <w:textAlignment w:val="auto"/>
    </w:pPr>
    <w:rPr>
      <w:rFonts w:ascii="Times New Roman" w:hAnsi="Times New Roman" w:eastAsia="宋体" w:cs="Times New Roman"/>
      <w:b/>
      <w:bCs/>
      <w:snapToGrid/>
      <w:color w:val="4F81BD"/>
      <w:sz w:val="18"/>
      <w:szCs w:val="18"/>
      <w:lang w:eastAsia="zh-CN"/>
    </w:rPr>
  </w:style>
  <w:style w:type="paragraph" w:styleId="6">
    <w:name w:val="Body Text"/>
    <w:basedOn w:val="1"/>
    <w:next w:val="1"/>
    <w:semiHidden/>
    <w:qFormat/>
    <w:uiPriority w:val="0"/>
    <w:rPr>
      <w:rFonts w:ascii="仿宋" w:hAnsi="仿宋" w:eastAsia="仿宋" w:cs="仿宋"/>
      <w:sz w:val="31"/>
      <w:szCs w:val="31"/>
    </w:rPr>
  </w:style>
  <w:style w:type="paragraph" w:styleId="7">
    <w:name w:val="Body Text Indent"/>
    <w:basedOn w:val="1"/>
    <w:next w:val="4"/>
    <w:qFormat/>
    <w:uiPriority w:val="0"/>
    <w:pPr>
      <w:ind w:firstLine="640" w:firstLineChars="200"/>
    </w:pPr>
    <w:rPr>
      <w:rFonts w:eastAsia="仿宋_GB2312"/>
      <w:sz w:val="32"/>
    </w:rPr>
  </w:style>
  <w:style w:type="paragraph" w:styleId="8">
    <w:name w:val="Balloon Text"/>
    <w:basedOn w:val="1"/>
    <w:link w:val="20"/>
    <w:qFormat/>
    <w:uiPriority w:val="0"/>
    <w:rPr>
      <w:sz w:val="18"/>
      <w:szCs w:val="18"/>
    </w:rPr>
  </w:style>
  <w:style w:type="paragraph" w:styleId="9">
    <w:name w:val="footer"/>
    <w:basedOn w:val="1"/>
    <w:link w:val="22"/>
    <w:qFormat/>
    <w:uiPriority w:val="0"/>
    <w:pPr>
      <w:tabs>
        <w:tab w:val="center" w:pos="4153"/>
        <w:tab w:val="right" w:pos="8306"/>
      </w:tabs>
    </w:pPr>
    <w:rPr>
      <w:sz w:val="18"/>
      <w:szCs w:val="18"/>
    </w:rPr>
  </w:style>
  <w:style w:type="paragraph" w:styleId="10">
    <w:name w:val="header"/>
    <w:basedOn w:val="1"/>
    <w:link w:val="21"/>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12">
    <w:name w:val="Body Text First Indent"/>
    <w:basedOn w:val="6"/>
    <w:qFormat/>
    <w:uiPriority w:val="0"/>
    <w:pPr>
      <w:ind w:firstLine="420" w:firstLineChars="100"/>
    </w:pPr>
  </w:style>
  <w:style w:type="paragraph" w:styleId="13">
    <w:name w:val="Body Text First Indent 2"/>
    <w:basedOn w:val="7"/>
    <w:next w:val="1"/>
    <w:qFormat/>
    <w:uiPriority w:val="0"/>
    <w:pPr>
      <w:ind w:firstLine="420"/>
    </w:pPr>
    <w:rPr>
      <w:rFonts w:eastAsia="宋体"/>
    </w:rPr>
  </w:style>
  <w:style w:type="table" w:styleId="1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31"/>
      <w:szCs w:val="31"/>
    </w:rPr>
  </w:style>
  <w:style w:type="character" w:customStyle="1" w:styleId="20">
    <w:name w:val="批注框文本 Char"/>
    <w:basedOn w:val="16"/>
    <w:link w:val="8"/>
    <w:qFormat/>
    <w:uiPriority w:val="0"/>
    <w:rPr>
      <w:rFonts w:eastAsia="Arial"/>
      <w:snapToGrid w:val="0"/>
      <w:color w:val="000000"/>
      <w:sz w:val="18"/>
      <w:szCs w:val="18"/>
      <w:lang w:eastAsia="en-US"/>
    </w:rPr>
  </w:style>
  <w:style w:type="character" w:customStyle="1" w:styleId="21">
    <w:name w:val="页眉 Char"/>
    <w:basedOn w:val="16"/>
    <w:link w:val="10"/>
    <w:qFormat/>
    <w:uiPriority w:val="0"/>
    <w:rPr>
      <w:rFonts w:eastAsia="Arial"/>
      <w:snapToGrid w:val="0"/>
      <w:color w:val="000000"/>
      <w:sz w:val="18"/>
      <w:szCs w:val="18"/>
      <w:lang w:eastAsia="en-US"/>
    </w:rPr>
  </w:style>
  <w:style w:type="character" w:customStyle="1" w:styleId="22">
    <w:name w:val="页脚 Char"/>
    <w:basedOn w:val="16"/>
    <w:link w:val="9"/>
    <w:qFormat/>
    <w:uiPriority w:val="0"/>
    <w:rPr>
      <w:rFonts w:eastAsia="Arial"/>
      <w:snapToGrid w:val="0"/>
      <w:color w:val="000000"/>
      <w:sz w:val="18"/>
      <w:szCs w:val="18"/>
      <w:lang w:eastAsia="en-US"/>
    </w:rPr>
  </w:style>
  <w:style w:type="paragraph" w:customStyle="1" w:styleId="23">
    <w:name w:val="正文1"/>
    <w:next w:val="1"/>
    <w:link w:val="25"/>
    <w:qFormat/>
    <w:uiPriority w:val="0"/>
    <w:pPr>
      <w:jc w:val="both"/>
    </w:pPr>
    <w:rPr>
      <w:rFonts w:ascii="Calibri" w:hAnsi="Calibri" w:eastAsia="宋体" w:cs="Times New Roman"/>
      <w:sz w:val="21"/>
      <w:szCs w:val="22"/>
      <w:lang w:val="en-US" w:eastAsia="zh-CN" w:bidi="ar-SA"/>
    </w:rPr>
  </w:style>
  <w:style w:type="paragraph" w:customStyle="1" w:styleId="24">
    <w:name w:val="普通(网站) Char"/>
    <w:basedOn w:val="23"/>
    <w:qFormat/>
    <w:uiPriority w:val="0"/>
    <w:pPr>
      <w:widowControl w:val="0"/>
      <w:spacing w:before="100" w:beforeAutospacing="1" w:after="100" w:afterAutospacing="1"/>
      <w:jc w:val="left"/>
    </w:pPr>
    <w:rPr>
      <w:sz w:val="24"/>
      <w:szCs w:val="24"/>
      <w:lang w:bidi="en-US"/>
    </w:rPr>
  </w:style>
  <w:style w:type="character" w:customStyle="1" w:styleId="25">
    <w:name w:val="font11"/>
    <w:basedOn w:val="16"/>
    <w:link w:val="23"/>
    <w:qFormat/>
    <w:uiPriority w:val="0"/>
    <w:rPr>
      <w:rFonts w:ascii="Calibri" w:hAnsi="Calibri" w:eastAsia="宋体" w:cs="Times New Roman"/>
      <w:sz w:val="21"/>
      <w:szCs w:val="22"/>
    </w:rPr>
  </w:style>
  <w:style w:type="paragraph" w:styleId="26">
    <w:name w:val="List Paragraph"/>
    <w:qFormat/>
    <w:uiPriority w:val="34"/>
    <w:pPr>
      <w:ind w:left="720"/>
      <w:contextualSpacing/>
    </w:pPr>
    <w:rPr>
      <w:rFonts w:ascii="Times New Roman" w:hAnsi="Times New Roman" w:eastAsia="宋体" w:cs="Times New Roman"/>
      <w:lang w:val="en-US" w:eastAsia="zh-CN" w:bidi="ar-SA"/>
    </w:rPr>
  </w:style>
  <w:style w:type="paragraph" w:customStyle="1" w:styleId="27">
    <w:name w:val="BodyText"/>
    <w:basedOn w:val="1"/>
    <w:qFormat/>
    <w:uiPriority w:val="0"/>
    <w:rPr>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9383</Words>
  <Characters>9563</Characters>
  <Lines>136</Lines>
  <Paragraphs>38</Paragraphs>
  <TotalTime>6</TotalTime>
  <ScaleCrop>false</ScaleCrop>
  <LinksUpToDate>false</LinksUpToDate>
  <CharactersWithSpaces>9758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2024-04-16T18:46:00Z</dcterms:created>
  <dc:creator>Administrator</dc:creator>
  <cp:lastModifiedBy>冯晨杰</cp:lastModifiedBy>
  <cp:lastPrinted>2025-07-18T15:03:00Z</cp:lastPrinted>
  <dcterms:modified xsi:type="dcterms:W3CDTF">2025-08-04T07:57:40Z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2024-04-15T10:10:08Z</vt:filetime>
  </property>
  <property fmtid="{D5CDD505-2E9C-101B-9397-08002B2CF9AE}" pid="4" name="KSOProductBuildVer">
    <vt:lpwstr>2052-12.1.0.21915</vt:lpwstr>
  </property>
  <property fmtid="{D5CDD505-2E9C-101B-9397-08002B2CF9AE}" pid="5" name="ICV">
    <vt:lpwstr>13837DCE7D2B08666C22886850CD4EE3_43</vt:lpwstr>
  </property>
  <property fmtid="{D5CDD505-2E9C-101B-9397-08002B2CF9AE}" pid="6" name="KSOTemplateDocerSaveRecord">
    <vt:lpwstr>eyJoZGlkIjoiZmM0NGEwN2EwYjM1YWNiMmI1ZjQzNjE5ZDAwNmVhMzUifQ==</vt:lpwstr>
  </property>
</Properties>
</file>