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EA09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pacing w:line="620" w:lineRule="exact"/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25EE52D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20" w:lineRule="exact"/>
        <w:ind w:firstLine="640" w:firstLineChars="200"/>
        <w:jc w:val="right"/>
        <w:rPr>
          <w:rFonts w:ascii="黑体" w:hAnsi="黑体" w:eastAsia="黑体" w:cs="黑体"/>
          <w:b w:val="0"/>
          <w:bCs w:val="0"/>
          <w:sz w:val="32"/>
          <w:szCs w:val="32"/>
        </w:rPr>
      </w:pPr>
    </w:p>
    <w:p w14:paraId="155858FE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jc w:val="distribut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18"/>
          <w:w w:val="85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18"/>
          <w:w w:val="85"/>
          <w:sz w:val="96"/>
          <w:szCs w:val="96"/>
        </w:rPr>
        <w:t>中共德安县委办公室文件</w:t>
      </w:r>
    </w:p>
    <w:p w14:paraId="699BAD0C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after="0" w:line="600" w:lineRule="exact"/>
        <w:jc w:val="center"/>
        <w:rPr>
          <w:rFonts w:ascii="Times New Roman" w:hAnsi="Times New Roman" w:eastAsia="仿宋"/>
          <w:b w:val="0"/>
          <w:bCs w:val="0"/>
          <w:sz w:val="32"/>
          <w:szCs w:val="32"/>
        </w:rPr>
      </w:pPr>
    </w:p>
    <w:p w14:paraId="3333E20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00" w:lineRule="exact"/>
        <w:jc w:val="center"/>
        <w:rPr>
          <w:rFonts w:ascii="Times New Roman" w:hAnsi="Times New Roman" w:eastAsia="仿宋"/>
          <w:b w:val="0"/>
          <w:bCs w:val="0"/>
          <w:sz w:val="32"/>
          <w:szCs w:val="32"/>
        </w:rPr>
      </w:pPr>
      <w:r>
        <w:rPr>
          <w:b w:val="0"/>
          <w:bCs w:val="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422275</wp:posOffset>
                </wp:positionV>
                <wp:extent cx="58293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15pt;margin-top:33.25pt;height:0pt;width:459pt;z-index:251660288;mso-width-relative:page;mso-height-relative:page;" filled="f" stroked="t" coordsize="21600,21600" o:gfxdata="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6OnB1wAAAAkBAAAPAAAAAAAAAAEAIAAAACIAAABkcnMvZG93bnJldi54&#10;bWxQSwECFAAUAAAACACHTuJA8o9bBPsBAADzAwAADgAAAAAAAAABACAAAAAmAQAAZHJzL2Uyb0Rv&#10;Yy54bWxQSwUGAAAAAAYABgBZAQAAk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b w:val="0"/>
          <w:bCs w:val="0"/>
          <w:sz w:val="32"/>
          <w:szCs w:val="32"/>
        </w:rPr>
        <w:t>德办字〔202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val="en-US" w:eastAsia="zh-CN"/>
        </w:rPr>
        <w:t>59</w:t>
      </w:r>
      <w:r>
        <w:rPr>
          <w:rFonts w:ascii="Times New Roman" w:hAnsi="Times New Roman" w:eastAsia="仿宋"/>
          <w:b w:val="0"/>
          <w:bCs w:val="0"/>
          <w:sz w:val="32"/>
          <w:szCs w:val="32"/>
        </w:rPr>
        <w:t>号</w:t>
      </w:r>
    </w:p>
    <w:p w14:paraId="179D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</w:pPr>
    </w:p>
    <w:p w14:paraId="4365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/>
        </w:rPr>
        <w:t>委办公室  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  <w:t>政府办公室</w:t>
      </w:r>
    </w:p>
    <w:p w14:paraId="28736D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德安县积极应对人口老龄化实施</w:t>
      </w:r>
    </w:p>
    <w:p w14:paraId="7EB16F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“体系公建、服务专营”两项改革全面推进</w:t>
      </w:r>
    </w:p>
    <w:p w14:paraId="5498D3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“全域养老”三年行动方案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  <w:t>的通知</w:t>
      </w:r>
    </w:p>
    <w:p w14:paraId="6FC5F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</w:rPr>
      </w:pPr>
    </w:p>
    <w:p w14:paraId="15A207E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各乡（镇）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党委、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政府，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县委有关部门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，县直及驻县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单位、人民团体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：</w:t>
      </w:r>
    </w:p>
    <w:p w14:paraId="5928B90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《德安县积极应对人口老龄化实施“体系公建、服务专营”两项改革全面推进“全域养老”三年行动方案》已经县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委、县政府研究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同意，现印发给你们，请认真贯彻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</w:p>
    <w:p w14:paraId="2490987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1D9E9CB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7D4397F9"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right"/>
        <w:textAlignment w:val="auto"/>
        <w:rPr>
          <w:rFonts w:hint="default" w:ascii="仿宋" w:hAnsi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中共德安县委办公室        德安县人民政府办公室      </w:t>
      </w:r>
    </w:p>
    <w:p w14:paraId="5DE528DE"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right"/>
        <w:textAlignment w:val="auto"/>
        <w:rPr>
          <w:rFonts w:hint="default" w:cs="宋体"/>
          <w:b w:val="0"/>
          <w:bCs w:val="0"/>
          <w:color w:val="auto"/>
          <w:spacing w:val="0"/>
          <w:sz w:val="44"/>
          <w:szCs w:val="44"/>
          <w:lang w:val="en-US"/>
        </w:rPr>
        <w:sectPr>
          <w:footerReference r:id="rId4" w:type="default"/>
          <w:pgSz w:w="11906" w:h="16838"/>
          <w:pgMar w:top="2098" w:right="1474" w:bottom="1984" w:left="1587" w:header="708" w:footer="708" w:gutter="0"/>
          <w:pgNumType w:fmt="numberInDash"/>
          <w:cols w:space="708" w:num="1"/>
          <w:docGrid w:linePitch="360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月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 w14:paraId="52CB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  <w:t>德安县积极应对人口老龄化实施“体系公建、服务专营”两项改革全面推进“全域养老”</w:t>
      </w:r>
    </w:p>
    <w:p w14:paraId="37F9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eastAsia="zh-CN"/>
        </w:rPr>
        <w:t>三年行动方案</w:t>
      </w:r>
    </w:p>
    <w:p w14:paraId="46B0037C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default" w:ascii="楷体" w:hAnsi="楷体" w:eastAsia="楷体" w:cs="楷体"/>
          <w:b w:val="0"/>
          <w:bCs w:val="0"/>
          <w:color w:val="auto"/>
          <w:spacing w:val="0"/>
          <w:sz w:val="32"/>
          <w:szCs w:val="32"/>
        </w:rPr>
      </w:pPr>
    </w:p>
    <w:p w14:paraId="55D69F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为贯彻党中央、国务院决策部署，以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全面提升养老服务能力、建设养老服务产业和树立养老服务品牌形象等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我县养老服务体系建设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未来五年工作总目标，以实施“体系公建、服务专营”两项改革为路径，持续健全完善县乡村衔接的三级养老服务网络。现就2024-2026年三年期间，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我县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积极应对人口老龄化实施“体系公建、服务专营”两项改革全面推进“全域养老”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制定方案如下。</w:t>
      </w:r>
    </w:p>
    <w:p w14:paraId="39AE8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发展目标</w:t>
      </w:r>
    </w:p>
    <w:p w14:paraId="29250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理论支撑取得突破，以“公建专营”改革完善公建民营管理机制。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通过全盘谋划“全域养老”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，统筹把握养老领域供需关系的调整，在县域养老的管理机制上取得突破。服务供给长足进步，以“体系公建”强化养老服务供给侧改革。在兜底保障领域，以福利院和敬老院构建1+2供给体系，实现兜底保障服务全覆盖；在城区社会养老领域，以县养老服务中心项目和社区养老服务点构建1+N供给体系，实现城区普惠养老服务全覆盖；在农村社会养老领域，以乡镇养老服务中心、颐养之家和“互助养老千村示范点”构建1+1+N供给体系全覆盖。服务运营稳步发展，以“服务专营”强化养老服务运营能力改革。坚持政府主导掌握基层养老服务运营能力建设主动权的原则，鼓励专业力量、社会力量全面参与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构建形成全县养老点位阵地全体系“服务专营”格局。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到2026年，完成组建德安县养老服务运营集团（暂定名），实现县域养老服务运营的“本土化”“市场化”“产业化”和“标准化”，实现信息化全覆盖、乡镇社区全覆盖、村组覆盖率60%以上。</w:t>
      </w:r>
    </w:p>
    <w:p w14:paraId="204F7F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、主要任务</w:t>
      </w:r>
    </w:p>
    <w:p w14:paraId="54E8BD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实现县养老服务中心实体化运行。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进一步优化配置公办养老机构的资源，2024年实现县养老服务中心实体化运行。2025年起，县养老服务中心切实承担起全县养老服务体系建设、服务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监管与指导的具体职能。</w:t>
      </w:r>
    </w:p>
    <w:p w14:paraId="3F184F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）完成县养老服务中心项目建设。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2025年底前全面完成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县养老服务中心项目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启动试运营，2026年全面投入运营，切实担负起“全域养老”核心阵地的各项服务职能，有力促进全县养老服务体系的健全。</w:t>
      </w:r>
    </w:p>
    <w:p w14:paraId="4CB244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）完成覆盖全县的智慧养老信息化建设。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依托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县养老服务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中心项目，融入智慧城市总体思维、充分接入赣政通、赣服通和民政等各部门的信息化系统，建设覆盖供给、覆盖城乡、覆盖全体老年人及其家庭的智慧养老信息化系统，2024年全面启动，至2025年全面建设完成并投入使用。</w:t>
      </w:r>
    </w:p>
    <w:p w14:paraId="359AEF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）引入并培育本土化的养老服务运营组织。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2024年由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养老服务中心牵头，以“管委会”民主议事机制，吸纳社会组织、公司、人才等，搭建“后勤总务”“社团资源”“护理养老”“社区养老”等四个主要的运营团体构成“一心四部”运营团队，提前介入信息化和服务运营试点；2025年“一心四部”投入运营；2026年组建德安养老服务运营集团，为地方国有企业。养老服务中心专注行业监管，“公建专营”改革全面落地。</w:t>
      </w:r>
    </w:p>
    <w:p w14:paraId="3EDF2C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）社区养老服务稳步发展。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社区日间照料、老年助餐、居家服务、家庭病床、家庭适老化改造等社区养老服务全面发展；构建“老年人友好城市、友好社区”和“儿童友好城市、友好社区”，城市养老服务功能不断完善增强。</w:t>
      </w:r>
    </w:p>
    <w:p w14:paraId="758715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）农村养老服务稳步发展。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乡镇养老服务中心不拘形式，实现功能全覆盖；农村颐养之家、幸福食堂实现体系化建设运营；“互助养老千村示范点”创建工作全面铺开，农村养老短板进一步补强。</w:t>
      </w:r>
    </w:p>
    <w:p w14:paraId="6DC3C8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）兜底养老保障能力全面提升。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县社会福利院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、聂桥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镇敬老院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、吴山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镇敬老院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等三所保障型公办养老机构服务能力进一步提升；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县社会福利院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护理型养老保障能力全面发展，为社会养老提供更丰富的阶梯式选项；聂桥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敬老院进一步发挥农村区域中心机构作用；吴山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敬老院建设成为精障等特殊群体集中照护专业机构。保障型公办机构全面纳入“公建专营”机制体系。</w:t>
      </w:r>
    </w:p>
    <w:p w14:paraId="1948F5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）基本养老服务体系建设全面发展。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《基本养老服务清单》服务事项全面落地，老年交通、文体娱乐、户籍、教培、医保、金融、高龄补贴、残疾保障等基本服务全面纳入养老服务中心统筹管理，实现涉老服务“一站式”受理分流，完善相关工作机制和办理流程。</w:t>
      </w:r>
    </w:p>
    <w:p w14:paraId="0C0DA1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）全方位养老服务体系建设全面推进。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在基本养老服务的基础上，开拓发展老年大学、医养结合、康养旅养、候鸟式养老、社团养老、互助养老、银发人才等新业态、新形式，共建更加全面的养老服务供给。</w:t>
      </w:r>
    </w:p>
    <w:p w14:paraId="0ED961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（十）区域性养老服务产业健康发展。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以养老服务中心为核心，整合政府购买服务、社会养老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个人及家庭购买服务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及社会慈善等各方力量，以养老机构为主要产业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集聚养老服务各业态，形成头部企业带动、“全域养老”产业化，实现健康发展。鼓励并支持社会力量办养老。在全市乃至全省率先实现区域性养老产业蓬勃发展的新局面。</w:t>
      </w:r>
    </w:p>
    <w:p w14:paraId="54A6D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）“全域养老”形成良好社会氛围。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通过养老服务供给侧改革有效撬动社会养老需求，通过广泛组织、宣传、动员，通过“五社联动”等多种形式，使“全域养老”广受关注、养老服务供给广受欢迎、养老服务品质广受认可，从而形成良好社会氛围。</w:t>
      </w:r>
    </w:p>
    <w:p w14:paraId="629AA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）积极探索“全域养老”深化改革。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在此三年期间，积极探索养老长期护理保险等金融产品创新、县级养老服务中心建设标准化、县域养老服务品质标准化、“全域养老”链接社会治理等深水区改革事项，2025年开列《“全域养老”改革清单》，2026年取得全面成果。</w:t>
      </w:r>
    </w:p>
    <w:p w14:paraId="33950B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实施步骤</w:t>
      </w:r>
    </w:p>
    <w:p w14:paraId="59468D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）2024年为“全域养老”改革强攻年。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养老服务中心项目建设为突破口，以信息化建设和建章立制为抓手，以农村公办养老机构资源配置、“一老一小幸福院”建设、老年助餐体系建设试点三项重点工作为主要内容。到2024年底，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县养老服务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中心项目全面推进建设，“一心四部”管理架构基本搭建；智慧养老信息化工程建设全面部署；老龄委、基本养老服务体系建设等工作机制全面运转；年度三项重点工作全面完成。</w:t>
      </w:r>
    </w:p>
    <w:p w14:paraId="4383A4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（二）2025年为“全域养老”改革攻坚年。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全面完成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养老服务中心项目建设并投入运营；全面完成智慧养老信息化工程建设和覆盖；编制完成《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全域养老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改革清单》并实现改革进度过半；“一心四部”和管委会工作机制不断磨合成熟，本土化运营团队基本形成；县乡村三级养老服务网络基本构建形成；《基本养老服务清单》各项服务内容全面落地。</w:t>
      </w:r>
    </w:p>
    <w:p w14:paraId="21DB66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b w:val="0"/>
          <w:bCs w:val="0"/>
          <w:color w:val="auto"/>
          <w:spacing w:val="0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（三）2026年为“全域养老”改革落实年。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养老服务中心运营经济指标不断优化；《“全域养老”改革清单》基本完成；县域养老服务产业“生态链”基本构建形成；组建德安县养老服务运营集团；“全域养老”工作推进和调度工作机制进一步优化完善；“体系公建、服务专营”两项改革取得全面成果，“全域养老”改革在新起点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纵深推进。</w:t>
      </w:r>
    </w:p>
    <w:p w14:paraId="350994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、加强保障</w:t>
      </w:r>
    </w:p>
    <w:p w14:paraId="797910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）加强组织保障。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在县委、县政府的领导下，健全完善工作领导和协调推进机制。充分整合发挥老龄委（老龄办）、基本养老服务体系建设等工作机制，建强县养老服务中心，高效推进落实相关工作。</w:t>
      </w:r>
    </w:p>
    <w:p w14:paraId="0713A8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）加强财政保障。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在工作机制框架内，保障养老服务中心的工作经费、保障本级福彩公益金55%以上用于养老事业；对标上级文件的精神和要求，落实各项财政保障；紧密围绕《德安县积极应对人口老龄化实施“体系公建、服务专营”两项改革全面推进“全域养老”三年行动方案》的实际需求，切实加强政府购买服务的资金保障。</w:t>
      </w:r>
    </w:p>
    <w:p w14:paraId="3FC7CE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29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）加强部门协同保障。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在工作机制框架内，明确部门和乡镇属地管理职能，动员各方力量参与“全域养老”改革，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确保改革取得重大成效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。</w:t>
      </w:r>
    </w:p>
    <w:p w14:paraId="510165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600" w:lineRule="exact"/>
        <w:ind w:left="0" w:leftChars="0" w:firstLine="630"/>
        <w:textAlignment w:val="auto"/>
        <w:rPr>
          <w:rFonts w:asciiTheme="minorEastAsia" w:hAnsiTheme="minorEastAsia" w:eastAsiaTheme="minorEastAsia"/>
          <w:b w:val="0"/>
          <w:bCs w:val="0"/>
          <w:color w:val="auto"/>
          <w:spacing w:val="0"/>
          <w:sz w:val="32"/>
          <w:szCs w:val="32"/>
        </w:rPr>
      </w:pPr>
    </w:p>
    <w:p w14:paraId="708C15A2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414CF452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7177DE3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0B4A1BB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24B461A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3A8BF39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34583F1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0213136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42CC9F3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0BAD906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3D58AC41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77F995B9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684C872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58460FB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79ED1E45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0" w:line="600" w:lineRule="exact"/>
        <w:textAlignment w:val="auto"/>
        <w:rPr>
          <w:b w:val="0"/>
          <w:bCs w:val="0"/>
          <w:color w:val="auto"/>
          <w:spacing w:val="0"/>
        </w:rPr>
      </w:pPr>
    </w:p>
    <w:p w14:paraId="0C15B518"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280" w:firstLineChars="100"/>
        <w:textAlignment w:val="auto"/>
        <w:rPr>
          <w:rFonts w:hint="default" w:asciiTheme="minorEastAsia" w:hAnsiTheme="minorEastAsia" w:eastAsiaTheme="minorEastAsia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  <w:t>中共德安县委办公室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 xml:space="preserve">                    2024年12月27日印发</w:t>
      </w:r>
    </w:p>
    <w:sectPr>
      <w:pgSz w:w="11906" w:h="16838"/>
      <w:pgMar w:top="1984" w:right="1474" w:bottom="1871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C21B2C-53E6-4459-9E8D-98647B7094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46F376-AD9A-406D-8984-2A8BECEE30B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675FC8AF-2953-4CA8-B9A7-53BE8D5A242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4E11A7-8B4F-4829-BC59-AFD06E74B84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899CE75-052C-4D48-8894-4359240E35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03962AB-DE43-4271-9935-0AE65C824C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F27DA1D-84ED-43C9-8DC3-6DA85A125A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DF7A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3ADB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rjyOABAADBAwAADgAAAGRycy9lMm9Eb2MueG1srVNLjhMxEN0jcQfL&#10;e+JOJ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Jl&#10;sXqeHepCKqnwLlAp9q+gz9VTPlEyC++b6PKfJDHaJ3/PV391j0zlQ+vVel3QlqK9eUE44v54iAnf&#10;aHAsBxWPdIGDr/L0LuFYOpfkbh5ujbWUl6X1fyUIM2dE5j5yzBH2+34ivof6THroJVCfFuIXzjqa&#10;g4p7GnvO7FtPNueRmYM4B/s5kF7RwYojZ2P4GsfROoZoDi3hLgfyKbw8IjEdBGQaY++JHd3sYME0&#10;hXl0/lwPVfcvb/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xq48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3ADB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9097A"/>
    <w:multiLevelType w:val="singleLevel"/>
    <w:tmpl w:val="516909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mMxOGIyZGRkNWQxMGYzOWZhZDY4NWIxMzNiODUifQ=="/>
  </w:docVars>
  <w:rsids>
    <w:rsidRoot w:val="00D31D50"/>
    <w:rsid w:val="000025A4"/>
    <w:rsid w:val="000071EA"/>
    <w:rsid w:val="00012382"/>
    <w:rsid w:val="00026052"/>
    <w:rsid w:val="000F096B"/>
    <w:rsid w:val="00135AF2"/>
    <w:rsid w:val="00165234"/>
    <w:rsid w:val="00182687"/>
    <w:rsid w:val="001F4391"/>
    <w:rsid w:val="00207941"/>
    <w:rsid w:val="002446CD"/>
    <w:rsid w:val="002715FB"/>
    <w:rsid w:val="002A6A33"/>
    <w:rsid w:val="002B06AB"/>
    <w:rsid w:val="002E393D"/>
    <w:rsid w:val="003140FF"/>
    <w:rsid w:val="00323B43"/>
    <w:rsid w:val="0034108A"/>
    <w:rsid w:val="003D37D8"/>
    <w:rsid w:val="00426133"/>
    <w:rsid w:val="004358AB"/>
    <w:rsid w:val="00454E1D"/>
    <w:rsid w:val="00496021"/>
    <w:rsid w:val="004D05AD"/>
    <w:rsid w:val="004E7C19"/>
    <w:rsid w:val="0051117B"/>
    <w:rsid w:val="005721A8"/>
    <w:rsid w:val="005E3A07"/>
    <w:rsid w:val="005E7E7A"/>
    <w:rsid w:val="00601BE6"/>
    <w:rsid w:val="00620675"/>
    <w:rsid w:val="006639AB"/>
    <w:rsid w:val="0067210D"/>
    <w:rsid w:val="00684B9C"/>
    <w:rsid w:val="0069093E"/>
    <w:rsid w:val="006D6702"/>
    <w:rsid w:val="007950C2"/>
    <w:rsid w:val="007B09F4"/>
    <w:rsid w:val="007F01C9"/>
    <w:rsid w:val="008337A4"/>
    <w:rsid w:val="00833D0E"/>
    <w:rsid w:val="00871482"/>
    <w:rsid w:val="008B7726"/>
    <w:rsid w:val="008E6F12"/>
    <w:rsid w:val="00942B48"/>
    <w:rsid w:val="00953A5C"/>
    <w:rsid w:val="00987769"/>
    <w:rsid w:val="009C7EB8"/>
    <w:rsid w:val="00A26EFC"/>
    <w:rsid w:val="00A71A27"/>
    <w:rsid w:val="00A77C27"/>
    <w:rsid w:val="00AB556F"/>
    <w:rsid w:val="00B24BBB"/>
    <w:rsid w:val="00B37075"/>
    <w:rsid w:val="00B51F85"/>
    <w:rsid w:val="00B5327F"/>
    <w:rsid w:val="00B7039D"/>
    <w:rsid w:val="00BA4EDC"/>
    <w:rsid w:val="00BE0F20"/>
    <w:rsid w:val="00BE5DE6"/>
    <w:rsid w:val="00BF7B4F"/>
    <w:rsid w:val="00C37920"/>
    <w:rsid w:val="00CA0400"/>
    <w:rsid w:val="00CD1A56"/>
    <w:rsid w:val="00CF227E"/>
    <w:rsid w:val="00D21EC5"/>
    <w:rsid w:val="00D31D50"/>
    <w:rsid w:val="00D45652"/>
    <w:rsid w:val="00D613C5"/>
    <w:rsid w:val="00D87948"/>
    <w:rsid w:val="00DD6D6A"/>
    <w:rsid w:val="00DE5435"/>
    <w:rsid w:val="00E25AFA"/>
    <w:rsid w:val="00E33955"/>
    <w:rsid w:val="00E41171"/>
    <w:rsid w:val="00E917B9"/>
    <w:rsid w:val="00EA05A7"/>
    <w:rsid w:val="00F04650"/>
    <w:rsid w:val="00F06DD6"/>
    <w:rsid w:val="00F543B8"/>
    <w:rsid w:val="00F95EF4"/>
    <w:rsid w:val="00FD4528"/>
    <w:rsid w:val="055B62F7"/>
    <w:rsid w:val="06F85A27"/>
    <w:rsid w:val="0A515F6B"/>
    <w:rsid w:val="0C943AA2"/>
    <w:rsid w:val="0CA746F4"/>
    <w:rsid w:val="13144FF5"/>
    <w:rsid w:val="139067F3"/>
    <w:rsid w:val="21917FBA"/>
    <w:rsid w:val="254518D4"/>
    <w:rsid w:val="262D4990"/>
    <w:rsid w:val="2B801021"/>
    <w:rsid w:val="2F293043"/>
    <w:rsid w:val="34DD74E5"/>
    <w:rsid w:val="35283B0A"/>
    <w:rsid w:val="358C32C0"/>
    <w:rsid w:val="386D6DD1"/>
    <w:rsid w:val="43DA2079"/>
    <w:rsid w:val="47981F8D"/>
    <w:rsid w:val="493E7E51"/>
    <w:rsid w:val="4FB712AB"/>
    <w:rsid w:val="52A511EA"/>
    <w:rsid w:val="55512592"/>
    <w:rsid w:val="5C187910"/>
    <w:rsid w:val="611F2AAF"/>
    <w:rsid w:val="65A72CEF"/>
    <w:rsid w:val="666B5E4F"/>
    <w:rsid w:val="6A2B6021"/>
    <w:rsid w:val="6FFF2DB4"/>
    <w:rsid w:val="70BC7831"/>
    <w:rsid w:val="71341C5F"/>
    <w:rsid w:val="71B625AC"/>
    <w:rsid w:val="732C410E"/>
    <w:rsid w:val="77B7491B"/>
    <w:rsid w:val="78A34A0C"/>
    <w:rsid w:val="79C108B6"/>
    <w:rsid w:val="7A75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before="540" w:line="557" w:lineRule="exact"/>
    </w:pPr>
    <w:rPr>
      <w:rFonts w:ascii="MingLiU" w:hAnsi="MingLiU" w:eastAsia="仿宋" w:cs="MingLiU"/>
      <w:spacing w:val="9"/>
      <w:sz w:val="32"/>
      <w:szCs w:val="3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aragraph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2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3125</Words>
  <Characters>3207</Characters>
  <Lines>26</Lines>
  <Paragraphs>7</Paragraphs>
  <TotalTime>22</TotalTime>
  <ScaleCrop>false</ScaleCrop>
  <LinksUpToDate>false</LinksUpToDate>
  <CharactersWithSpaces>3282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蕾蕾</cp:lastModifiedBy>
  <cp:lastPrinted>2024-12-30T02:37:09Z</cp:lastPrinted>
  <dcterms:modified xsi:type="dcterms:W3CDTF">2024-12-30T02:40:22Z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3DA05BE39A3448D2B00CEB393D2A331B_13</vt:lpwstr>
  </property>
  <property fmtid="{D5CDD505-2E9C-101B-9397-08002B2CF9AE}" pid="4" name="KSOTemplateDocerSaveRecord">
    <vt:lpwstr>eyJoZGlkIjoiNWNlODFkY2YyMTRkNjZlNDdjODNiNjNhZGQ4ODliOTUiLCJ1c2VySWQiOiIyOTExODA3MDkifQ==</vt:lpwstr>
  </property>
</Properties>
</file>