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rPr>
      </w:pPr>
    </w:p>
    <w:p>
      <w:pPr>
        <w:spacing w:line="360" w:lineRule="auto"/>
        <w:jc w:val="center"/>
        <w:rPr>
          <w:rFonts w:hint="eastAsia" w:ascii="宋体" w:hAnsi="宋体"/>
          <w:b/>
          <w:sz w:val="36"/>
          <w:szCs w:val="36"/>
          <w:lang w:val="en-US" w:eastAsia="zh-CN"/>
        </w:rPr>
      </w:pPr>
    </w:p>
    <w:p>
      <w:pPr>
        <w:spacing w:line="360" w:lineRule="auto"/>
        <w:jc w:val="center"/>
        <w:rPr>
          <w:rFonts w:hint="eastAsia" w:ascii="宋体" w:hAnsi="宋体"/>
          <w:b/>
          <w:sz w:val="52"/>
          <w:szCs w:val="52"/>
          <w:lang w:val="en-US" w:eastAsia="zh-CN"/>
        </w:rPr>
      </w:pPr>
      <w:r>
        <w:rPr>
          <w:rFonts w:hint="eastAsia" w:ascii="宋体" w:hAnsi="宋体"/>
          <w:b/>
          <w:sz w:val="52"/>
          <w:szCs w:val="52"/>
          <w:lang w:val="en-US" w:eastAsia="zh-CN"/>
        </w:rPr>
        <w:t>德安县</w:t>
      </w:r>
    </w:p>
    <w:p>
      <w:pPr>
        <w:spacing w:line="360" w:lineRule="auto"/>
        <w:jc w:val="center"/>
        <w:rPr>
          <w:rFonts w:hint="eastAsia" w:ascii="宋体" w:hAnsi="宋体"/>
          <w:b/>
          <w:sz w:val="52"/>
          <w:szCs w:val="52"/>
          <w:lang w:val="en-US" w:eastAsia="zh-CN"/>
        </w:rPr>
      </w:pPr>
      <w:bookmarkStart w:id="188" w:name="_GoBack"/>
      <w:r>
        <w:rPr>
          <w:rFonts w:hint="eastAsia" w:ascii="宋体" w:hAnsi="宋体"/>
          <w:b/>
          <w:sz w:val="52"/>
          <w:szCs w:val="52"/>
          <w:lang w:val="en-US" w:eastAsia="zh-CN"/>
        </w:rPr>
        <w:t>城乡供水一体化规划报告</w:t>
      </w:r>
    </w:p>
    <w:bookmarkEnd w:id="188"/>
    <w:p>
      <w:pPr>
        <w:spacing w:line="360" w:lineRule="auto"/>
        <w:jc w:val="center"/>
        <w:rPr>
          <w:rFonts w:hint="eastAsia" w:ascii="宋体" w:hAnsi="宋体"/>
          <w:b/>
          <w:sz w:val="36"/>
          <w:szCs w:val="36"/>
          <w:lang w:val="en-US" w:eastAsia="zh-CN"/>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right="0" w:rightChars="0" w:firstLine="0" w:firstLineChars="0"/>
        <w:jc w:val="center"/>
        <w:textAlignment w:val="auto"/>
        <w:outlineLvl w:val="9"/>
        <w:rPr>
          <w:rFonts w:hint="default" w:ascii="宋体" w:hAnsi="宋体" w:eastAsia="宋体"/>
          <w:b/>
          <w:sz w:val="44"/>
          <w:szCs w:val="44"/>
          <w:lang w:val="en-US" w:eastAsia="zh-CN"/>
        </w:rPr>
      </w:pPr>
      <w:r>
        <w:rPr>
          <w:rFonts w:hint="eastAsia" w:ascii="宋体" w:hAnsi="宋体"/>
          <w:b/>
          <w:sz w:val="44"/>
          <w:szCs w:val="44"/>
          <w:lang w:val="en-US" w:eastAsia="zh-CN"/>
        </w:rPr>
        <w:t>北京华茂中天建筑规划设计有限公司</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right="0" w:rightChars="0" w:firstLine="0" w:firstLineChars="0"/>
        <w:jc w:val="center"/>
        <w:textAlignment w:val="auto"/>
        <w:outlineLvl w:val="9"/>
        <w:rPr>
          <w:rFonts w:hint="eastAsia" w:ascii="宋体" w:hAnsi="宋体"/>
          <w:b/>
          <w:sz w:val="44"/>
          <w:szCs w:val="44"/>
        </w:rPr>
      </w:pPr>
      <w:r>
        <w:rPr>
          <w:rFonts w:hint="eastAsia" w:ascii="宋体" w:hAnsi="宋体"/>
          <w:b/>
          <w:sz w:val="44"/>
          <w:szCs w:val="44"/>
        </w:rPr>
        <w:t>二〇</w:t>
      </w:r>
      <w:r>
        <w:rPr>
          <w:rFonts w:hint="eastAsia" w:ascii="宋体" w:hAnsi="宋体"/>
          <w:b/>
          <w:sz w:val="44"/>
          <w:szCs w:val="44"/>
          <w:lang w:val="en-US" w:eastAsia="zh-CN"/>
        </w:rPr>
        <w:t>二</w:t>
      </w:r>
      <w:r>
        <w:rPr>
          <w:rFonts w:hint="eastAsia" w:ascii="宋体" w:hAnsi="宋体"/>
          <w:b/>
          <w:sz w:val="44"/>
          <w:szCs w:val="44"/>
        </w:rPr>
        <w:t>〇年</w:t>
      </w:r>
      <w:r>
        <w:rPr>
          <w:rFonts w:hint="eastAsia" w:ascii="宋体" w:hAnsi="宋体"/>
          <w:b/>
          <w:sz w:val="44"/>
          <w:szCs w:val="44"/>
          <w:lang w:val="en-US" w:eastAsia="zh-CN"/>
        </w:rPr>
        <w:t>十二</w:t>
      </w:r>
      <w:r>
        <w:rPr>
          <w:rFonts w:hint="eastAsia" w:ascii="宋体" w:hAnsi="宋体"/>
          <w:b/>
          <w:sz w:val="44"/>
          <w:szCs w:val="44"/>
        </w:rPr>
        <w:t>月</w:t>
      </w:r>
    </w:p>
    <w:p>
      <w:pPr>
        <w:jc w:val="center"/>
        <w:rPr>
          <w:rFonts w:hint="eastAsia" w:ascii="宋体" w:hAnsi="宋体"/>
          <w:b/>
          <w:sz w:val="36"/>
          <w:szCs w:val="36"/>
        </w:rPr>
      </w:pPr>
    </w:p>
    <w:p>
      <w:pPr>
        <w:jc w:val="center"/>
        <w:rPr>
          <w:rFonts w:hint="eastAsia" w:eastAsia="宋体"/>
          <w:sz w:val="24"/>
          <w:lang w:eastAsia="zh-CN"/>
        </w:rPr>
      </w:pPr>
    </w:p>
    <w:p>
      <w:pPr>
        <w:jc w:val="center"/>
        <w:rPr>
          <w:rFonts w:hint="eastAsia" w:ascii="宋体" w:hAnsi="宋体"/>
          <w:b/>
          <w:sz w:val="44"/>
        </w:rPr>
      </w:pPr>
    </w:p>
    <w:p>
      <w:pPr>
        <w:jc w:val="center"/>
        <w:rPr>
          <w:rFonts w:hint="eastAsia" w:ascii="宋体" w:hAnsi="宋体"/>
          <w:b/>
          <w:sz w:val="44"/>
        </w:rPr>
      </w:pPr>
    </w:p>
    <w:p>
      <w:pPr>
        <w:jc w:val="center"/>
        <w:rPr>
          <w:rFonts w:hint="eastAsia" w:ascii="宋体" w:hAnsi="宋体"/>
          <w:b/>
          <w:sz w:val="44"/>
        </w:rPr>
      </w:pPr>
      <w:r>
        <w:rPr>
          <w:rFonts w:hint="eastAsia" w:ascii="宋体" w:hAnsi="宋体"/>
          <w:b/>
          <w:sz w:val="44"/>
        </w:rPr>
        <w:drawing>
          <wp:inline distT="0" distB="0" distL="114300" distR="114300">
            <wp:extent cx="7486650" cy="5281930"/>
            <wp:effectExtent l="0" t="0" r="13970" b="0"/>
            <wp:docPr id="5" name="图片 33" descr="7892f4ee07fd5882d6df6692440b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7892f4ee07fd5882d6df6692440b412"/>
                    <pic:cNvPicPr>
                      <a:picLocks noChangeAspect="1"/>
                    </pic:cNvPicPr>
                  </pic:nvPicPr>
                  <pic:blipFill>
                    <a:blip r:embed="rId9"/>
                    <a:stretch>
                      <a:fillRect/>
                    </a:stretch>
                  </pic:blipFill>
                  <pic:spPr>
                    <a:xfrm rot="16200000">
                      <a:off x="0" y="0"/>
                      <a:ext cx="7486650" cy="5281930"/>
                    </a:xfrm>
                    <a:prstGeom prst="rect">
                      <a:avLst/>
                    </a:prstGeom>
                    <a:noFill/>
                    <a:ln>
                      <a:noFill/>
                    </a:ln>
                  </pic:spPr>
                </pic:pic>
              </a:graphicData>
            </a:graphic>
          </wp:inline>
        </w:drawing>
      </w:r>
      <w:r>
        <w:br w:type="page"/>
      </w:r>
    </w:p>
    <w:p>
      <w:pPr>
        <w:snapToGrid w:val="0"/>
        <w:spacing w:line="360" w:lineRule="auto"/>
        <w:ind w:firstLine="2641" w:firstLineChars="600"/>
        <w:rPr>
          <w:rFonts w:ascii="宋体" w:hAnsi="宋体"/>
          <w:b/>
          <w:sz w:val="44"/>
        </w:rPr>
      </w:pPr>
      <w:r>
        <w:rPr>
          <w:rFonts w:hint="eastAsia" w:ascii="宋体" w:hAnsi="宋体"/>
          <w:b/>
          <w:sz w:val="44"/>
        </w:rPr>
        <w:t>编制人员名单</w:t>
      </w:r>
    </w:p>
    <w:p>
      <w:pPr>
        <w:spacing w:line="360" w:lineRule="auto"/>
        <w:ind w:firstLine="320" w:firstLineChars="100"/>
        <w:rPr>
          <w:rFonts w:hint="eastAsia" w:ascii="宋体" w:hAnsi="宋体"/>
          <w:sz w:val="32"/>
        </w:rPr>
      </w:pPr>
      <w:r>
        <w:rPr>
          <w:rFonts w:hint="eastAsia" w:ascii="宋体" w:hAnsi="宋体"/>
          <w:sz w:val="32"/>
        </w:rPr>
        <w:t>职务            姓名            职务         签名</w:t>
      </w:r>
    </w:p>
    <w:p>
      <w:pPr>
        <w:spacing w:line="360" w:lineRule="auto"/>
        <w:rPr>
          <w:rFonts w:hint="eastAsia" w:ascii="宋体" w:hAnsi="宋体"/>
          <w:sz w:val="32"/>
        </w:rPr>
      </w:pPr>
      <w:r>
        <w:rPr>
          <w:rFonts w:hint="eastAsia" w:ascii="宋体" w:hAnsi="宋体"/>
          <w:sz w:val="32"/>
        </w:rPr>
        <w:t xml:space="preserve">项目负责人：    刘  伟         高级工程师  </w:t>
      </w:r>
    </w:p>
    <w:p>
      <w:pPr>
        <w:spacing w:line="360" w:lineRule="auto"/>
        <w:rPr>
          <w:rFonts w:hint="eastAsia" w:ascii="宋体" w:hAnsi="宋体"/>
          <w:sz w:val="32"/>
        </w:rPr>
      </w:pPr>
      <w:r>
        <w:rPr>
          <w:rFonts w:hint="eastAsia" w:ascii="宋体" w:hAnsi="宋体"/>
          <w:sz w:val="32"/>
        </w:rPr>
        <w:t xml:space="preserve">审定人：        张文峰         高级工程师 </w:t>
      </w:r>
      <w:r>
        <w:drawing>
          <wp:anchor distT="0" distB="0" distL="114300" distR="114300" simplePos="0" relativeHeight="251659264" behindDoc="0" locked="0" layoutInCell="1" allowOverlap="1">
            <wp:simplePos x="0" y="0"/>
            <wp:positionH relativeFrom="column">
              <wp:posOffset>4502150</wp:posOffset>
            </wp:positionH>
            <wp:positionV relativeFrom="paragraph">
              <wp:posOffset>48260</wp:posOffset>
            </wp:positionV>
            <wp:extent cx="781050" cy="438150"/>
            <wp:effectExtent l="0" t="0" r="0" b="0"/>
            <wp:wrapSquare wrapText="bothSides"/>
            <wp:docPr id="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2"/>
                    <pic:cNvPicPr>
                      <a:picLocks noChangeAspect="1"/>
                    </pic:cNvPicPr>
                  </pic:nvPicPr>
                  <pic:blipFill>
                    <a:blip r:embed="rId10"/>
                    <a:stretch>
                      <a:fillRect/>
                    </a:stretch>
                  </pic:blipFill>
                  <pic:spPr>
                    <a:xfrm>
                      <a:off x="0" y="0"/>
                      <a:ext cx="781050" cy="438150"/>
                    </a:xfrm>
                    <a:prstGeom prst="rect">
                      <a:avLst/>
                    </a:prstGeom>
                    <a:noFill/>
                    <a:ln>
                      <a:noFill/>
                    </a:ln>
                  </pic:spPr>
                </pic:pic>
              </a:graphicData>
            </a:graphic>
          </wp:anchor>
        </w:drawing>
      </w:r>
    </w:p>
    <w:p>
      <w:pPr>
        <w:spacing w:line="360" w:lineRule="auto"/>
        <w:rPr>
          <w:rFonts w:hint="eastAsia" w:ascii="宋体" w:hAnsi="宋体"/>
          <w:sz w:val="32"/>
        </w:rPr>
      </w:pPr>
      <w:r>
        <w:drawing>
          <wp:anchor distT="0" distB="0" distL="114300" distR="114300" simplePos="0" relativeHeight="251660288" behindDoc="0" locked="0" layoutInCell="1" allowOverlap="1">
            <wp:simplePos x="0" y="0"/>
            <wp:positionH relativeFrom="column">
              <wp:posOffset>4564380</wp:posOffset>
            </wp:positionH>
            <wp:positionV relativeFrom="paragraph">
              <wp:posOffset>109855</wp:posOffset>
            </wp:positionV>
            <wp:extent cx="647700" cy="447675"/>
            <wp:effectExtent l="0" t="0" r="0" b="9525"/>
            <wp:wrapSquare wrapText="bothSides"/>
            <wp:docPr id="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3"/>
                    <pic:cNvPicPr>
                      <a:picLocks noChangeAspect="1"/>
                    </pic:cNvPicPr>
                  </pic:nvPicPr>
                  <pic:blipFill>
                    <a:blip r:embed="rId11"/>
                    <a:stretch>
                      <a:fillRect/>
                    </a:stretch>
                  </pic:blipFill>
                  <pic:spPr>
                    <a:xfrm>
                      <a:off x="0" y="0"/>
                      <a:ext cx="647700" cy="447675"/>
                    </a:xfrm>
                    <a:prstGeom prst="rect">
                      <a:avLst/>
                    </a:prstGeom>
                    <a:noFill/>
                    <a:ln>
                      <a:noFill/>
                    </a:ln>
                  </pic:spPr>
                </pic:pic>
              </a:graphicData>
            </a:graphic>
          </wp:anchor>
        </w:drawing>
      </w:r>
      <w:r>
        <w:rPr>
          <w:rFonts w:hint="eastAsia" w:ascii="宋体" w:hAnsi="宋体"/>
          <w:sz w:val="32"/>
        </w:rPr>
        <w:t>专业负责人 ：   郭  辉         高级工程师</w:t>
      </w:r>
    </w:p>
    <w:p>
      <w:pPr>
        <w:spacing w:line="360" w:lineRule="auto"/>
        <w:rPr>
          <w:rFonts w:hint="eastAsia" w:ascii="宋体" w:hAnsi="宋体"/>
          <w:sz w:val="32"/>
        </w:rPr>
      </w:pPr>
      <w:r>
        <w:drawing>
          <wp:anchor distT="0" distB="0" distL="114300" distR="114300" simplePos="0" relativeHeight="251661312" behindDoc="0" locked="0" layoutInCell="1" allowOverlap="1">
            <wp:simplePos x="0" y="0"/>
            <wp:positionH relativeFrom="column">
              <wp:posOffset>4491990</wp:posOffset>
            </wp:positionH>
            <wp:positionV relativeFrom="paragraph">
              <wp:posOffset>38100</wp:posOffset>
            </wp:positionV>
            <wp:extent cx="733425" cy="428625"/>
            <wp:effectExtent l="0" t="0" r="9525" b="9525"/>
            <wp:wrapSquare wrapText="bothSides"/>
            <wp:docPr id="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4"/>
                    <pic:cNvPicPr>
                      <a:picLocks noChangeAspect="1"/>
                    </pic:cNvPicPr>
                  </pic:nvPicPr>
                  <pic:blipFill>
                    <a:blip r:embed="rId12"/>
                    <a:stretch>
                      <a:fillRect/>
                    </a:stretch>
                  </pic:blipFill>
                  <pic:spPr>
                    <a:xfrm>
                      <a:off x="0" y="0"/>
                      <a:ext cx="733425" cy="428625"/>
                    </a:xfrm>
                    <a:prstGeom prst="rect">
                      <a:avLst/>
                    </a:prstGeom>
                    <a:noFill/>
                    <a:ln>
                      <a:noFill/>
                    </a:ln>
                  </pic:spPr>
                </pic:pic>
              </a:graphicData>
            </a:graphic>
          </wp:anchor>
        </w:drawing>
      </w:r>
      <w:r>
        <w:rPr>
          <w:rFonts w:hint="eastAsia" w:ascii="宋体" w:hAnsi="宋体"/>
          <w:sz w:val="32"/>
        </w:rPr>
        <w:t>审核人  ：      蔡海龙         高级工程师</w:t>
      </w:r>
    </w:p>
    <w:p>
      <w:pPr>
        <w:spacing w:line="360" w:lineRule="auto"/>
        <w:rPr>
          <w:rFonts w:ascii="宋体" w:hAnsi="宋体"/>
          <w:sz w:val="32"/>
        </w:rPr>
      </w:pPr>
      <w:r>
        <w:drawing>
          <wp:anchor distT="0" distB="0" distL="114300" distR="114300" simplePos="0" relativeHeight="251662336" behindDoc="0" locked="0" layoutInCell="1" allowOverlap="1">
            <wp:simplePos x="0" y="0"/>
            <wp:positionH relativeFrom="column">
              <wp:posOffset>4435475</wp:posOffset>
            </wp:positionH>
            <wp:positionV relativeFrom="paragraph">
              <wp:posOffset>31115</wp:posOffset>
            </wp:positionV>
            <wp:extent cx="866775" cy="466725"/>
            <wp:effectExtent l="0" t="0" r="9525" b="9525"/>
            <wp:wrapSquare wrapText="bothSides"/>
            <wp:docPr id="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
                    <pic:cNvPicPr>
                      <a:picLocks noChangeAspect="1"/>
                    </pic:cNvPicPr>
                  </pic:nvPicPr>
                  <pic:blipFill>
                    <a:blip r:embed="rId13"/>
                    <a:stretch>
                      <a:fillRect/>
                    </a:stretch>
                  </pic:blipFill>
                  <pic:spPr>
                    <a:xfrm>
                      <a:off x="0" y="0"/>
                      <a:ext cx="866775" cy="466725"/>
                    </a:xfrm>
                    <a:prstGeom prst="rect">
                      <a:avLst/>
                    </a:prstGeom>
                    <a:noFill/>
                    <a:ln>
                      <a:noFill/>
                    </a:ln>
                  </pic:spPr>
                </pic:pic>
              </a:graphicData>
            </a:graphic>
          </wp:anchor>
        </w:drawing>
      </w:r>
      <w:r>
        <w:rPr>
          <w:rFonts w:hint="eastAsia" w:ascii="宋体" w:hAnsi="宋体"/>
          <w:sz w:val="32"/>
        </w:rPr>
        <w:t xml:space="preserve">设计人：    </w:t>
      </w:r>
      <w:r>
        <w:rPr>
          <w:rFonts w:hint="eastAsia" w:ascii="宋体" w:hAnsi="宋体"/>
          <w:sz w:val="32"/>
          <w:lang w:val="en-US" w:eastAsia="zh-CN"/>
        </w:rPr>
        <w:t xml:space="preserve"> </w:t>
      </w:r>
      <w:r>
        <w:rPr>
          <w:rFonts w:hint="eastAsia" w:ascii="宋体" w:hAnsi="宋体"/>
          <w:sz w:val="32"/>
        </w:rPr>
        <w:t xml:space="preserve">   徐赵刚           工程师     </w:t>
      </w: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0"/>
          <w:szCs w:val="30"/>
        </w:rPr>
      </w:pPr>
      <w:r>
        <w:rPr>
          <w:rFonts w:ascii="宋体" w:hAnsi="宋体"/>
          <w:b/>
          <w:sz w:val="36"/>
          <w:szCs w:val="36"/>
        </w:rPr>
        <w:br w:type="page"/>
      </w:r>
      <w:r>
        <w:rPr>
          <w:rFonts w:hint="eastAsia" w:ascii="宋体" w:hAnsi="宋体"/>
          <w:b/>
          <w:sz w:val="30"/>
          <w:szCs w:val="30"/>
        </w:rPr>
        <w:t>目  录</w:t>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"1-2" \h \z \u </w:instrText>
      </w:r>
      <w:r>
        <w:rPr>
          <w:rFonts w:hint="eastAsia" w:ascii="宋体" w:hAnsi="宋体" w:eastAsia="宋体" w:cs="宋体"/>
          <w:sz w:val="24"/>
          <w:szCs w:val="24"/>
        </w:rPr>
        <w:fldChar w:fldCharType="separate"/>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_Toc5474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前  言</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_Toc5474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_Toc22014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规划背景</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_Toc22014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_Toc22542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主要工作过程</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_Toc22542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_Toc15015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规划</w:t>
      </w:r>
      <w:r>
        <w:rPr>
          <w:rFonts w:hint="eastAsia" w:ascii="宋体" w:hAnsi="宋体" w:eastAsia="宋体" w:cs="宋体"/>
          <w:kern w:val="2"/>
          <w:sz w:val="24"/>
          <w:szCs w:val="24"/>
          <w:lang w:val="en-US" w:eastAsia="zh-CN" w:bidi="ar-SA"/>
        </w:rPr>
        <w:t>思路</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_Toc15015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_Toc31537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主要规划成果</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_Toc31537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_Toc22660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0"/>
          <w:sz w:val="24"/>
          <w:szCs w:val="24"/>
          <w:lang w:val="en-US" w:eastAsia="zh-CN" w:bidi="ar-SA"/>
        </w:rPr>
        <w:t xml:space="preserve">1 </w:t>
      </w:r>
      <w:r>
        <w:rPr>
          <w:rFonts w:hint="eastAsia" w:ascii="宋体" w:hAnsi="宋体" w:eastAsia="宋体" w:cs="宋体"/>
          <w:kern w:val="2"/>
          <w:sz w:val="24"/>
          <w:szCs w:val="24"/>
          <w:lang w:val="en-US" w:eastAsia="zh-CN" w:bidi="ar-SA"/>
        </w:rPr>
        <w:t>区域</w:t>
      </w:r>
      <w:r>
        <w:rPr>
          <w:rFonts w:hint="eastAsia" w:ascii="宋体" w:hAnsi="宋体" w:eastAsia="宋体" w:cs="宋体"/>
          <w:bCs/>
          <w:kern w:val="0"/>
          <w:sz w:val="24"/>
          <w:szCs w:val="24"/>
          <w:highlight w:val="none"/>
          <w:lang w:val="en-US" w:eastAsia="zh-CN" w:bidi="ar-SA"/>
        </w:rPr>
        <w:t>概况</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_Toc22660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_Toc7144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1.1 自然地理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_Toc7144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_Toc22287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1.2 社会经济概况</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_Toc22287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8</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_Toc3923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1.3 水资源及开发利用状况</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_Toc3923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_Toc31823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0"/>
          <w:sz w:val="24"/>
          <w:szCs w:val="24"/>
          <w:lang w:val="en-US" w:eastAsia="zh-CN" w:bidi="ar-SA"/>
        </w:rPr>
        <w:t xml:space="preserve">2 </w:t>
      </w:r>
      <w:r>
        <w:rPr>
          <w:rFonts w:hint="eastAsia" w:ascii="宋体" w:hAnsi="宋体" w:eastAsia="宋体" w:cs="宋体"/>
          <w:bCs/>
          <w:kern w:val="0"/>
          <w:sz w:val="24"/>
          <w:szCs w:val="24"/>
          <w:highlight w:val="none"/>
          <w:lang w:val="en-US" w:eastAsia="zh-CN" w:bidi="ar-SA"/>
        </w:rPr>
        <w:t>城乡供水现状</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_Toc31823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_Toc15154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2.1 </w:t>
      </w:r>
      <w:r>
        <w:rPr>
          <w:rFonts w:hint="eastAsia" w:ascii="宋体" w:hAnsi="宋体" w:eastAsia="宋体" w:cs="宋体"/>
          <w:kern w:val="2"/>
          <w:sz w:val="24"/>
          <w:szCs w:val="24"/>
          <w:highlight w:val="none"/>
          <w:lang w:val="en-US" w:eastAsia="zh-CN" w:bidi="ar-SA"/>
        </w:rPr>
        <w:t>城乡供水发展情况</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_Toc15154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_Toc22387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2.2 </w:t>
      </w:r>
      <w:r>
        <w:rPr>
          <w:rFonts w:hint="eastAsia" w:ascii="宋体" w:hAnsi="宋体" w:eastAsia="宋体" w:cs="宋体"/>
          <w:kern w:val="2"/>
          <w:sz w:val="24"/>
          <w:szCs w:val="24"/>
          <w:highlight w:val="none"/>
          <w:lang w:val="en-US" w:eastAsia="zh-CN" w:bidi="ar-SA"/>
        </w:rPr>
        <w:t>城乡供水工程现状</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_Toc22387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_Toc30886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2.3 </w:t>
      </w:r>
      <w:r>
        <w:rPr>
          <w:rFonts w:hint="eastAsia" w:ascii="宋体" w:hAnsi="宋体" w:eastAsia="宋体" w:cs="宋体"/>
          <w:kern w:val="2"/>
          <w:sz w:val="24"/>
          <w:szCs w:val="24"/>
          <w:highlight w:val="none"/>
          <w:lang w:val="en-US" w:eastAsia="zh-CN" w:bidi="ar-SA"/>
        </w:rPr>
        <w:t>城乡供水现状存在的问题</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_Toc30886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_Toc28953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2.4 </w:t>
      </w:r>
      <w:r>
        <w:rPr>
          <w:rFonts w:hint="eastAsia" w:ascii="宋体" w:hAnsi="宋体" w:eastAsia="宋体" w:cs="宋体"/>
          <w:kern w:val="2"/>
          <w:sz w:val="24"/>
          <w:szCs w:val="24"/>
          <w:highlight w:val="none"/>
          <w:lang w:val="en-US" w:eastAsia="zh-CN" w:bidi="ar-SA"/>
        </w:rPr>
        <w:t>现状城乡供水工程利用分析</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_Toc28953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_Toc31182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2.5 </w:t>
      </w:r>
      <w:r>
        <w:rPr>
          <w:rFonts w:hint="eastAsia" w:ascii="宋体" w:hAnsi="宋体" w:eastAsia="宋体" w:cs="宋体"/>
          <w:kern w:val="2"/>
          <w:sz w:val="24"/>
          <w:szCs w:val="24"/>
          <w:highlight w:val="none"/>
          <w:lang w:val="en-US" w:eastAsia="zh-CN" w:bidi="ar-SA"/>
        </w:rPr>
        <w:t>实施城乡供水一体化的必要性</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_Toc31182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_Toc14073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44"/>
          <w:sz w:val="24"/>
          <w:szCs w:val="24"/>
          <w:lang w:val="en-US" w:eastAsia="zh-CN" w:bidi="ar-SA"/>
        </w:rPr>
        <w:t xml:space="preserve">3 </w:t>
      </w:r>
      <w:r>
        <w:rPr>
          <w:rFonts w:hint="eastAsia" w:ascii="宋体" w:hAnsi="宋体" w:eastAsia="宋体" w:cs="宋体"/>
          <w:bCs/>
          <w:kern w:val="2"/>
          <w:sz w:val="24"/>
          <w:szCs w:val="24"/>
          <w:lang w:val="en-US" w:eastAsia="zh-CN" w:bidi="ar-SA"/>
        </w:rPr>
        <w:t>规划指导思想与目标任务</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_Toc14073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_Toc12617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3.1 </w:t>
      </w:r>
      <w:r>
        <w:rPr>
          <w:rFonts w:hint="eastAsia" w:ascii="宋体" w:hAnsi="宋体" w:eastAsia="宋体" w:cs="宋体"/>
          <w:kern w:val="2"/>
          <w:sz w:val="24"/>
          <w:szCs w:val="24"/>
          <w:lang w:val="en-US" w:eastAsia="zh-CN" w:bidi="ar-SA"/>
        </w:rPr>
        <w:t>规划编制依据</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_Toc12617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_Toc17875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3.2 规划范围与规划水平年</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_Toc17875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28</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_Toc29428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3.3 规划指导思想与基本原则</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_Toc29428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28</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_Toc3017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3.4 </w:t>
      </w:r>
      <w:r>
        <w:rPr>
          <w:rFonts w:hint="eastAsia" w:ascii="宋体" w:hAnsi="宋体" w:eastAsia="宋体" w:cs="宋体"/>
          <w:bCs/>
          <w:kern w:val="2"/>
          <w:sz w:val="24"/>
          <w:szCs w:val="24"/>
          <w:highlight w:val="none"/>
          <w:lang w:val="en-US" w:eastAsia="zh-CN" w:bidi="ar-SA"/>
        </w:rPr>
        <w:t>规划目标</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_Toc3017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30</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_Toc32594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3.5 规划任务</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_Toc32594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_Toc20110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0"/>
          <w:sz w:val="24"/>
          <w:szCs w:val="24"/>
          <w:lang w:val="en-US" w:eastAsia="zh-CN" w:bidi="ar-SA"/>
        </w:rPr>
        <w:t xml:space="preserve">4 </w:t>
      </w:r>
      <w:r>
        <w:rPr>
          <w:rFonts w:hint="eastAsia" w:ascii="宋体" w:hAnsi="宋体" w:eastAsia="宋体" w:cs="宋体"/>
          <w:bCs/>
          <w:kern w:val="0"/>
          <w:sz w:val="24"/>
          <w:szCs w:val="24"/>
          <w:highlight w:val="none"/>
          <w:lang w:val="en-US" w:eastAsia="zh-CN" w:bidi="ar-SA"/>
        </w:rPr>
        <w:t>规划总体布局</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_Toc20110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35</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_Toc30596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4.1 水量供需平衡分析</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_Toc30596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35</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_Toc15380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4.2 总体布局</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_Toc15380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50</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_Toc26047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4.3 规划分区</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_Toc26047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_Toc8603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44"/>
          <w:sz w:val="24"/>
          <w:szCs w:val="24"/>
          <w:lang w:val="en-US" w:eastAsia="zh-CN" w:bidi="ar-SA"/>
        </w:rPr>
        <w:t xml:space="preserve">5 </w:t>
      </w:r>
      <w:r>
        <w:rPr>
          <w:rFonts w:hint="eastAsia" w:ascii="宋体" w:hAnsi="宋体" w:eastAsia="宋体" w:cs="宋体"/>
          <w:bCs/>
          <w:kern w:val="2"/>
          <w:sz w:val="24"/>
          <w:szCs w:val="24"/>
          <w:lang w:val="en-US" w:eastAsia="zh-CN" w:bidi="ar-SA"/>
        </w:rPr>
        <w:t>建设标准与工程建设内容</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_Toc8603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55</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_Toc9882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5.1 建设标准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_Toc9882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55</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_Toc1109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5.2 工程建设内容</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_Toc1109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_Toc8624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5.3 典型工程设计</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_Toc8624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_Toc28657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6 </w:t>
      </w:r>
      <w:r>
        <w:rPr>
          <w:rFonts w:hint="eastAsia" w:ascii="宋体" w:hAnsi="宋体" w:eastAsia="宋体" w:cs="宋体"/>
          <w:kern w:val="2"/>
          <w:sz w:val="24"/>
          <w:szCs w:val="24"/>
          <w:lang w:val="en-US" w:eastAsia="zh-CN" w:bidi="ar-SA"/>
        </w:rPr>
        <w:t>农村饮用水源保护</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_Toc28657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_Toc29795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6.1 水源地概况</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_Toc29795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_Toc13014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6.2 各类型水源地评价</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_Toc13014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_Toc2003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6.3 水源地保护与预防措施</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_Toc2003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_Toc15568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6.4 水源管理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_Toc15568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67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_Toc4912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val="0"/>
          <w:kern w:val="2"/>
          <w:sz w:val="24"/>
          <w:szCs w:val="24"/>
          <w:lang w:val="en-US" w:eastAsia="zh-CN" w:bidi="ar-SA"/>
        </w:rPr>
        <w:t>6.5 水源地保护安全预案</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_Toc4912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74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_Toc15478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7 创新工程管护机制</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_Toc15478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84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_Toc22047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7.1 水价机制建设</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_Toc22047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84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_Toc14500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7.2 加快构建城乡供水一体化模式</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_Toc14500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86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_Toc29385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7.3 智慧水务平台建设</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_Toc29385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87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_Toc3755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8 </w:t>
      </w:r>
      <w:r>
        <w:rPr>
          <w:rFonts w:hint="eastAsia" w:ascii="宋体" w:hAnsi="宋体" w:eastAsia="宋体" w:cs="宋体"/>
          <w:kern w:val="2"/>
          <w:sz w:val="24"/>
          <w:szCs w:val="24"/>
          <w:lang w:val="en-US" w:eastAsia="zh-CN" w:bidi="ar-SA"/>
        </w:rPr>
        <w:t>投资估算与资金筹措</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_Toc3755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_Toc19909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8.1 </w:t>
      </w:r>
      <w:r>
        <w:rPr>
          <w:rFonts w:hint="eastAsia" w:ascii="宋体" w:hAnsi="宋体" w:eastAsia="宋体" w:cs="宋体"/>
          <w:kern w:val="2"/>
          <w:sz w:val="24"/>
          <w:szCs w:val="24"/>
          <w:lang w:val="en-US" w:eastAsia="zh-CN" w:bidi="ar-SA"/>
        </w:rPr>
        <w:t>投资估算</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_Toc19909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_Toc17196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8.2 工程投资</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_Toc17196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92</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_Toc18948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8.3 资金筹措</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_Toc18948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94</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_Toc17091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44"/>
          <w:sz w:val="24"/>
          <w:szCs w:val="24"/>
          <w:lang w:val="en-US" w:eastAsia="zh-CN" w:bidi="ar-SA"/>
        </w:rPr>
        <w:t xml:space="preserve">9 </w:t>
      </w:r>
      <w:r>
        <w:rPr>
          <w:rFonts w:hint="eastAsia" w:ascii="宋体" w:hAnsi="宋体" w:eastAsia="宋体" w:cs="宋体"/>
          <w:bCs/>
          <w:kern w:val="2"/>
          <w:sz w:val="24"/>
          <w:szCs w:val="24"/>
          <w:lang w:val="en-US" w:eastAsia="zh-CN" w:bidi="ar-SA"/>
        </w:rPr>
        <w:t>财务分析</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_Toc17091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_Toc10595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9.1 </w:t>
      </w:r>
      <w:r>
        <w:rPr>
          <w:rFonts w:hint="eastAsia" w:ascii="宋体" w:hAnsi="宋体" w:eastAsia="宋体" w:cs="宋体"/>
          <w:kern w:val="2"/>
          <w:sz w:val="24"/>
          <w:szCs w:val="24"/>
          <w:lang w:val="en-US" w:eastAsia="zh-CN" w:bidi="ar-SA"/>
        </w:rPr>
        <w:t>国民经济评价</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_Toc10595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_Toc22747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9.2 </w:t>
      </w:r>
      <w:r>
        <w:rPr>
          <w:rFonts w:hint="eastAsia" w:ascii="宋体" w:hAnsi="宋体" w:eastAsia="宋体" w:cs="宋体"/>
          <w:kern w:val="2"/>
          <w:sz w:val="24"/>
          <w:szCs w:val="24"/>
          <w:lang w:val="en-US" w:eastAsia="zh-CN" w:bidi="ar-SA"/>
        </w:rPr>
        <w:t>财务分析</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_Toc22747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_Toc24214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9.3 </w:t>
      </w:r>
      <w:r>
        <w:rPr>
          <w:rFonts w:hint="eastAsia" w:ascii="宋体" w:hAnsi="宋体" w:eastAsia="宋体" w:cs="宋体"/>
          <w:kern w:val="2"/>
          <w:sz w:val="24"/>
          <w:szCs w:val="24"/>
          <w:lang w:val="en-US" w:eastAsia="zh-CN" w:bidi="ar-SA"/>
        </w:rPr>
        <w:t>结论</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_Toc24214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_Toc5743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44"/>
          <w:sz w:val="24"/>
          <w:szCs w:val="24"/>
          <w:lang w:val="en-US" w:eastAsia="zh-CN" w:bidi="ar-SA"/>
        </w:rPr>
        <w:t xml:space="preserve">10 </w:t>
      </w:r>
      <w:r>
        <w:rPr>
          <w:rFonts w:hint="eastAsia" w:ascii="宋体" w:hAnsi="宋体" w:eastAsia="宋体" w:cs="宋体"/>
          <w:bCs/>
          <w:kern w:val="2"/>
          <w:sz w:val="24"/>
          <w:szCs w:val="24"/>
          <w:lang w:val="en-US" w:eastAsia="zh-CN" w:bidi="ar-SA"/>
        </w:rPr>
        <w:t>环境影响评价</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_Toc5743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98</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_Toc17275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10.1 环境现状</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_Toc17275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98</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_Toc28543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10.2 环境影响分析</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_Toc28543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100</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_Toc32552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10.3 环境保护措施</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_Toc32552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_Toc19841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10.4 初步</w:t>
      </w:r>
      <w:r>
        <w:rPr>
          <w:rFonts w:hint="eastAsia" w:ascii="宋体" w:hAnsi="宋体" w:eastAsia="宋体" w:cs="宋体"/>
          <w:kern w:val="2"/>
          <w:sz w:val="24"/>
          <w:szCs w:val="24"/>
          <w:lang w:val="en-US" w:eastAsia="zh-CN" w:bidi="ar-SA"/>
        </w:rPr>
        <w:t>环境影响评价结论</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_Toc19841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105</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44"/>
          <w:sz w:val="24"/>
          <w:szCs w:val="24"/>
          <w:lang w:val="en-US" w:eastAsia="zh-CN" w:bidi="ar-SA"/>
        </w:rPr>
        <w:t xml:space="preserve">11 </w:t>
      </w:r>
      <w:r>
        <w:rPr>
          <w:rFonts w:hint="eastAsia" w:ascii="宋体" w:hAnsi="宋体" w:eastAsia="宋体" w:cs="宋体"/>
          <w:bCs/>
          <w:kern w:val="2"/>
          <w:sz w:val="24"/>
          <w:szCs w:val="24"/>
          <w:lang w:val="en-US" w:eastAsia="zh-CN" w:bidi="ar-SA"/>
        </w:rPr>
        <w:t>分期实施意见</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_Toc293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_Toc1568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11.1 </w:t>
      </w:r>
      <w:r>
        <w:rPr>
          <w:rFonts w:hint="eastAsia" w:ascii="宋体" w:hAnsi="宋体" w:eastAsia="宋体" w:cs="宋体"/>
          <w:kern w:val="2"/>
          <w:sz w:val="24"/>
          <w:szCs w:val="24"/>
          <w:lang w:val="en-US" w:eastAsia="zh-CN" w:bidi="ar-SA"/>
        </w:rPr>
        <w:t>实施安排原则</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_Toc1568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9"/>
        <w:tabs>
          <w:tab w:val="right" w:leader="dot" w:pos="8306"/>
        </w:tabs>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_Toc25518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 xml:space="preserve">11.2 </w:t>
      </w:r>
      <w:r>
        <w:rPr>
          <w:rFonts w:hint="eastAsia" w:ascii="宋体" w:hAnsi="宋体" w:eastAsia="宋体" w:cs="宋体"/>
          <w:kern w:val="2"/>
          <w:sz w:val="24"/>
          <w:szCs w:val="24"/>
          <w:lang w:val="en-US" w:eastAsia="zh-CN" w:bidi="ar-SA"/>
        </w:rPr>
        <w:t>分期实施意见</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_Toc25518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106</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25"/>
        <w:tabs>
          <w:tab w:val="right" w:leader="dot" w:pos="8306"/>
        </w:tabs>
        <w:spacing w:line="360" w:lineRule="auto"/>
        <w:rPr>
          <w:kern w:val="2"/>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_Toc24821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kern w:val="2"/>
          <w:sz w:val="24"/>
          <w:szCs w:val="24"/>
          <w:lang w:val="en-US" w:eastAsia="zh-CN" w:bidi="ar-SA"/>
        </w:rPr>
        <w:t>12 保障措施</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_Toc24821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107</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spacing w:line="360" w:lineRule="auto"/>
        <w:rPr>
          <w:rFonts w:hint="eastAsia" w:ascii="宋体" w:hAnsi="宋体"/>
        </w:rPr>
        <w:sectPr>
          <w:type w:val="nextColumn"/>
          <w:pgSz w:w="11906" w:h="16838"/>
          <w:pgMar w:top="1440" w:right="1800" w:bottom="1440" w:left="1800" w:header="851" w:footer="992" w:gutter="0"/>
          <w:cols w:space="720" w:num="1"/>
          <w:docGrid w:type="lines" w:linePitch="312" w:charSpace="0"/>
        </w:sectPr>
      </w:pPr>
      <w:r>
        <w:rPr>
          <w:rFonts w:hint="eastAsia" w:ascii="宋体" w:hAnsi="宋体" w:eastAsia="宋体" w:cs="宋体"/>
          <w:kern w:val="2"/>
          <w:szCs w:val="24"/>
          <w:lang w:val="en-US" w:eastAsia="zh-CN" w:bidi="ar-SA"/>
        </w:rPr>
        <w:fldChar w:fldCharType="end"/>
      </w:r>
    </w:p>
    <w:p>
      <w:pPr>
        <w:pStyle w:val="4"/>
        <w:numPr>
          <w:ilvl w:val="0"/>
          <w:numId w:val="0"/>
        </w:numPr>
        <w:ind w:leftChars="0"/>
        <w:jc w:val="center"/>
        <w:rPr>
          <w:rFonts w:hint="eastAsia"/>
        </w:rPr>
      </w:pPr>
      <w:bookmarkStart w:id="0" w:name="_Toc5474"/>
      <w:bookmarkStart w:id="1" w:name="_Toc427053743"/>
      <w:r>
        <w:rPr>
          <w:rFonts w:hint="eastAsia"/>
        </w:rPr>
        <w:t>前  言</w:t>
      </w:r>
      <w:bookmarkEnd w:id="0"/>
      <w:bookmarkEnd w:id="1"/>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textAlignment w:val="auto"/>
        <w:rPr>
          <w:rFonts w:hint="eastAsia" w:ascii="宋体" w:hAnsi="宋体" w:eastAsia="宋体" w:cs="宋体"/>
          <w:sz w:val="24"/>
          <w:szCs w:val="24"/>
          <w:lang w:val="en-US" w:eastAsia="zh-CN"/>
        </w:rPr>
      </w:pPr>
      <w:bookmarkStart w:id="2" w:name="_Toc22014"/>
      <w:r>
        <w:rPr>
          <w:rFonts w:hint="eastAsia" w:ascii="宋体" w:hAnsi="宋体" w:eastAsia="宋体" w:cs="宋体"/>
          <w:sz w:val="24"/>
          <w:szCs w:val="24"/>
          <w:lang w:val="en-US" w:eastAsia="zh-CN"/>
        </w:rPr>
        <w:t>规划背景</w:t>
      </w:r>
      <w:bookmarkEnd w:id="2"/>
    </w:p>
    <w:p>
      <w:pPr>
        <w:autoSpaceDE w:val="0"/>
        <w:autoSpaceDN w:val="0"/>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lang w:val="en-US" w:eastAsia="zh-CN"/>
        </w:rPr>
        <w:t>饮</w:t>
      </w:r>
      <w:r>
        <w:rPr>
          <w:rFonts w:hint="eastAsia" w:ascii="宋体" w:hAnsi="宋体" w:eastAsia="宋体" w:cs="宋体"/>
          <w:kern w:val="0"/>
          <w:sz w:val="24"/>
          <w:szCs w:val="24"/>
          <w:lang w:val="en-US" w:eastAsia="zh-CN"/>
        </w:rPr>
        <w:t>水安全直接影响人民群众的生命安全和身体健康，是居民生活条件改善、生活质量提高的重要标志，是决胜脱贫攻坚全面建成小康社会的基础保障。为</w:t>
      </w:r>
      <w:r>
        <w:rPr>
          <w:rFonts w:hint="eastAsia" w:ascii="宋体" w:hAnsi="宋体" w:eastAsia="宋体" w:cs="宋体"/>
          <w:sz w:val="24"/>
          <w:szCs w:val="24"/>
          <w:lang w:val="en-US" w:eastAsia="zh-CN"/>
        </w:rPr>
        <w:t>切实</w:t>
      </w:r>
      <w:r>
        <w:rPr>
          <w:rFonts w:hint="eastAsia" w:ascii="宋体" w:hAnsi="宋体" w:eastAsia="宋体" w:cs="宋体"/>
          <w:kern w:val="0"/>
          <w:sz w:val="24"/>
          <w:szCs w:val="24"/>
          <w:lang w:val="en-US" w:eastAsia="zh-CN"/>
        </w:rPr>
        <w:t>解决居民饮水安全问题，加强供水基础设施</w:t>
      </w:r>
      <w:r>
        <w:rPr>
          <w:rFonts w:hint="eastAsia" w:ascii="宋体" w:hAnsi="宋体" w:eastAsia="宋体" w:cs="宋体"/>
          <w:sz w:val="24"/>
          <w:szCs w:val="24"/>
          <w:lang w:val="en-US" w:eastAsia="zh-CN"/>
        </w:rPr>
        <w:t>建设</w:t>
      </w:r>
      <w:r>
        <w:rPr>
          <w:rFonts w:hint="eastAsia" w:ascii="宋体" w:hAnsi="宋体" w:eastAsia="宋体" w:cs="宋体"/>
          <w:kern w:val="0"/>
          <w:sz w:val="24"/>
          <w:szCs w:val="24"/>
          <w:lang w:val="en-US" w:eastAsia="zh-CN"/>
        </w:rPr>
        <w:t>，提升供水服务水平、促进乡村振兴、城乡融合发展，在德安县范围内全面推行城乡供水一体化。</w:t>
      </w:r>
    </w:p>
    <w:p>
      <w:pPr>
        <w:autoSpaceDE w:val="0"/>
        <w:autoSpaceDN w:val="0"/>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经过十多年的大规模建设和不断完善监督管理，</w:t>
      </w:r>
      <w:r>
        <w:rPr>
          <w:rFonts w:hint="eastAsia" w:ascii="宋体" w:hAnsi="宋体" w:eastAsia="宋体" w:cs="宋体"/>
          <w:sz w:val="24"/>
          <w:szCs w:val="24"/>
          <w:lang w:eastAsia="zh-CN"/>
        </w:rPr>
        <w:t>德安县</w:t>
      </w:r>
      <w:r>
        <w:rPr>
          <w:rFonts w:hint="eastAsia" w:ascii="宋体" w:hAnsi="宋体" w:eastAsia="宋体" w:cs="宋体"/>
          <w:sz w:val="24"/>
          <w:szCs w:val="24"/>
        </w:rPr>
        <w:t>供水工作取得了长足发展，总体实现了从喝水难到有水喝、喝安全水的转变。</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德安县自</w:t>
      </w: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五”</w:t>
      </w:r>
      <w:r>
        <w:rPr>
          <w:rFonts w:hint="eastAsia" w:ascii="宋体" w:hAnsi="宋体" w:eastAsia="宋体" w:cs="宋体"/>
          <w:kern w:val="0"/>
          <w:sz w:val="24"/>
          <w:szCs w:val="24"/>
          <w:lang w:eastAsia="zh-CN"/>
        </w:rPr>
        <w:t>以来</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分别实施了：</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吴山镇红桥</w:t>
      </w:r>
      <w:r>
        <w:rPr>
          <w:rFonts w:hint="eastAsia" w:ascii="宋体" w:hAnsi="宋体" w:eastAsia="宋体" w:cs="宋体"/>
          <w:kern w:val="0"/>
          <w:sz w:val="24"/>
          <w:szCs w:val="24"/>
          <w:lang w:eastAsia="zh-CN"/>
        </w:rPr>
        <w:t>自来水工程，以红桥水库为水源，进行了水厂改造及</w:t>
      </w:r>
      <w:r>
        <w:rPr>
          <w:rFonts w:hint="eastAsia" w:ascii="宋体" w:hAnsi="宋体" w:eastAsia="宋体" w:cs="宋体"/>
          <w:kern w:val="0"/>
          <w:sz w:val="24"/>
          <w:szCs w:val="24"/>
        </w:rPr>
        <w:t>自来水管网延伸工程</w:t>
      </w:r>
      <w:r>
        <w:rPr>
          <w:rFonts w:hint="eastAsia" w:ascii="宋体" w:hAnsi="宋体" w:eastAsia="宋体" w:cs="宋体"/>
          <w:kern w:val="0"/>
          <w:sz w:val="24"/>
          <w:szCs w:val="24"/>
          <w:lang w:eastAsia="zh-CN"/>
        </w:rPr>
        <w:t>，覆盖了吴山镇及部分聂桥镇；</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邹桥自来水工程，以湖塘水库为水源，进行了水厂改造及农村自来水管网延伸工程，在爱民乡设置加压站，覆盖了邹桥乡以及爱民乡；</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eastAsia="zh-CN"/>
        </w:rPr>
        <w:t>林泉水厂以林泉水库为水源，进行了水厂改造以及管网延伸工程，替代了原有的小水厂，覆盖了林泉镇、丰林镇、高塘乡、以及部分聂桥乡；</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塘山自来水工程，以狐狸洞暗河以及机井为水源，进行了水厂改造及管网延伸工程，覆盖了塘山乡；</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lang w:eastAsia="zh-CN"/>
        </w:rPr>
        <w:t>雁家湖水厂管网延伸工程，覆盖了河东乡以及宝塔乡；</w:t>
      </w:r>
      <w:r>
        <w:rPr>
          <w:rFonts w:hint="eastAsia" w:ascii="宋体" w:hAnsi="宋体" w:eastAsia="宋体" w:cs="宋体"/>
          <w:kern w:val="0"/>
          <w:sz w:val="24"/>
          <w:szCs w:val="24"/>
          <w:lang w:val="en-US" w:eastAsia="zh-CN"/>
        </w:rPr>
        <w:t>6）、车桥水厂改造及管网延伸工程，以上易水库为水源，覆盖了车桥乡；7）、磨溪水厂改造及管网延伸工程，以新田水库为水源，覆盖了磨溪乡；8）、彭山水厂，目前彭山水厂的主要供水范围为丰林工业园，随着管网的完善，为管网向农村地区延伸及县域各水厂并网提供了基础。</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自此，德安县自来水工程实现了“一大七小”八个水厂的布局，基本实现了自来水干管在全县农村地区的全面覆盖。为了提高水源保证率，减少管网漏损率以及自来水入户率；在“十三五”期间，又实施了：1）、德安县（2019年、2020年）管网改造工程，对各自来水老旧管网进行了改造；2）、德安县进村入户工程，对全县七个水厂进行排查，提高自来水入户率；3）、偏远农村地区加压站建设工程，共建成18座小型加压站。</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通过这一系列工程的建设，德安县农村自来水工程取得显著的成效，农村地区覆盖人口约为12.5万人，自来水普及率达到92.3%，自来水入户量为36812块，入户率达87%。</w:t>
      </w:r>
    </w:p>
    <w:p>
      <w:pPr>
        <w:autoSpaceDE w:val="0"/>
        <w:autoSpaceDN w:val="0"/>
        <w:adjustRightInd/>
        <w:snapToGrid/>
        <w:spacing w:line="360" w:lineRule="auto"/>
        <w:ind w:firstLine="560"/>
        <w:rPr>
          <w:rFonts w:hint="default" w:ascii="宋体" w:hAnsi="宋体" w:eastAsia="宋体" w:cs="宋体"/>
          <w:sz w:val="24"/>
          <w:szCs w:val="24"/>
          <w:lang w:val="en-US" w:eastAsia="zh-CN"/>
        </w:rPr>
      </w:pPr>
      <w:r>
        <w:rPr>
          <w:rFonts w:hint="eastAsia" w:ascii="宋体" w:hAnsi="宋体" w:eastAsia="宋体" w:cs="宋体"/>
          <w:sz w:val="24"/>
          <w:szCs w:val="24"/>
        </w:rPr>
        <w:t>“十四五”期间，</w:t>
      </w:r>
      <w:r>
        <w:rPr>
          <w:rFonts w:hint="eastAsia" w:ascii="宋体" w:hAnsi="宋体" w:eastAsia="宋体" w:cs="宋体"/>
          <w:sz w:val="24"/>
          <w:szCs w:val="24"/>
          <w:lang w:eastAsia="zh-CN"/>
        </w:rPr>
        <w:t>德安县农村自来水工程将面临新的挑战。</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德安县将陆续实施万年青水泥厂建设项目、义门陈特色小镇项目以及高塘乡影视小镇项目，这些乡村振兴项目的实施，将使得德安县农村自来水的供水量以及供水方向发生局部调整；</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红桥水库的除险加固，对红桥水厂的供水水源产生一定的影响；</w:t>
      </w:r>
      <w:r>
        <w:rPr>
          <w:rFonts w:hint="eastAsia" w:ascii="宋体" w:hAnsi="宋体" w:eastAsia="宋体" w:cs="宋体"/>
          <w:sz w:val="24"/>
          <w:szCs w:val="24"/>
          <w:lang w:val="en-US" w:eastAsia="zh-CN"/>
        </w:rPr>
        <w:t>3）、德安县地处丘陵地带，为了满足农村供水需要，建设了一批自来工程，但由于自来水工程覆盖广，水厂分散，这对水厂的管理提出了更高的要求，建立全县农村范围的智慧水务平台势在必行，实现“水源-水厂-管网”全流程监控，便于集中快速调配运维资源。</w:t>
      </w:r>
    </w:p>
    <w:p>
      <w:pPr>
        <w:autoSpaceDE w:val="0"/>
        <w:autoSpaceDN w:val="0"/>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“十四五”期间，</w:t>
      </w:r>
      <w:r>
        <w:rPr>
          <w:rFonts w:hint="eastAsia" w:ascii="宋体" w:hAnsi="宋体" w:eastAsia="宋体" w:cs="宋体"/>
          <w:sz w:val="24"/>
          <w:szCs w:val="24"/>
          <w:lang w:eastAsia="zh-CN"/>
        </w:rPr>
        <w:t>德安县</w:t>
      </w:r>
      <w:r>
        <w:rPr>
          <w:rFonts w:hint="eastAsia" w:ascii="宋体" w:hAnsi="宋体" w:eastAsia="宋体" w:cs="宋体"/>
          <w:sz w:val="24"/>
          <w:szCs w:val="24"/>
        </w:rPr>
        <w:t>将按照乡村振兴梯次推进的总体部署，积极推进农村供水工程提标升级，以建立合理水价机制为重点，全面建立农村供水工程长效运行管护机制，提升农村供水管理服务水平。</w:t>
      </w:r>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textAlignment w:val="auto"/>
        <w:rPr>
          <w:rFonts w:hint="eastAsia" w:ascii="宋体" w:hAnsi="宋体" w:eastAsia="宋体" w:cs="宋体"/>
          <w:sz w:val="24"/>
          <w:szCs w:val="24"/>
          <w:lang w:val="en-US" w:eastAsia="zh-CN"/>
        </w:rPr>
      </w:pPr>
      <w:bookmarkStart w:id="3" w:name="_Toc22542"/>
      <w:r>
        <w:rPr>
          <w:rFonts w:hint="eastAsia" w:ascii="宋体" w:hAnsi="宋体" w:eastAsia="宋体" w:cs="宋体"/>
          <w:sz w:val="24"/>
          <w:szCs w:val="24"/>
          <w:lang w:val="en-US" w:eastAsia="zh-CN"/>
        </w:rPr>
        <w:t>主要工作过程</w:t>
      </w:r>
      <w:bookmarkEnd w:id="3"/>
    </w:p>
    <w:p>
      <w:pPr>
        <w:autoSpaceDE w:val="0"/>
        <w:autoSpaceDN w:val="0"/>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根据实地勘查和资料收集等方式在摸清全县现状农村供水工程的基础上，分析现状年和规划水平年用水定额，通过供需水量分析确定自来水工程规划规模；分析工程现状及存在的主要问题，结合实际提出规划区内农村供水工程规划的总体布局、工程的建设内容与规模，主要工程量与投资以及分期实施意见和规划实施的保障措施，建议等。同时，根据实际情况确定新建农村供水工程的建设规模、主要建设内容及主要工程量。</w:t>
      </w:r>
    </w:p>
    <w:p>
      <w:pPr>
        <w:adjustRightInd w:val="0"/>
        <w:snapToGrid w:val="0"/>
        <w:spacing w:line="360" w:lineRule="auto"/>
        <w:ind w:firstLine="446" w:firstLineChars="18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规划工作主要分为两个阶段。</w:t>
      </w:r>
    </w:p>
    <w:p>
      <w:pPr>
        <w:adjustRightInd w:val="0"/>
        <w:snapToGrid w:val="0"/>
        <w:spacing w:line="360" w:lineRule="auto"/>
        <w:ind w:firstLine="446" w:firstLineChars="18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第一阶段为现状调查和</w:t>
      </w:r>
      <w:r>
        <w:rPr>
          <w:rFonts w:hint="eastAsia" w:ascii="Times New Roman" w:hAnsi="Times New Roman" w:eastAsia="宋体" w:cs="Times New Roman"/>
          <w:color w:val="auto"/>
          <w:sz w:val="24"/>
          <w:szCs w:val="24"/>
          <w:highlight w:val="none"/>
          <w:lang w:val="en-US" w:eastAsia="zh-CN"/>
        </w:rPr>
        <w:t>总体分区布局</w:t>
      </w:r>
      <w:r>
        <w:rPr>
          <w:rFonts w:hint="default" w:ascii="Times New Roman" w:hAnsi="Times New Roman" w:eastAsia="宋体" w:cs="Times New Roman"/>
          <w:color w:val="auto"/>
          <w:sz w:val="24"/>
          <w:szCs w:val="24"/>
          <w:highlight w:val="none"/>
        </w:rPr>
        <w:t>拟定阶段，工作内容主要包括基础资料收集、现状供水工程调查和工程总体</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rPr>
        <w:t>布局拟定等工作。在县各相关部门和各乡镇政府的大力支持和配合下，20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上旬</w:t>
      </w:r>
      <w:r>
        <w:rPr>
          <w:rFonts w:hint="default" w:ascii="Times New Roman" w:hAnsi="Times New Roman" w:eastAsia="宋体" w:cs="Times New Roman"/>
          <w:color w:val="auto"/>
          <w:sz w:val="24"/>
          <w:szCs w:val="24"/>
          <w:highlight w:val="none"/>
        </w:rPr>
        <w:t>基本完成了与本规划有关的基础资料收集和现状调查与分析工作，基本摸清了全县自来水工程现状及存在的主要问题等。在此基础上，根据县域地形地貌、河流水系、水源条件和县域经济区划，并考虑</w:t>
      </w:r>
      <w:r>
        <w:rPr>
          <w:rFonts w:hint="eastAsia" w:ascii="Times New Roman" w:hAnsi="Times New Roman" w:eastAsia="宋体" w:cs="Times New Roman"/>
          <w:color w:val="auto"/>
          <w:sz w:val="24"/>
          <w:szCs w:val="24"/>
          <w:highlight w:val="none"/>
          <w:lang w:val="en-US" w:eastAsia="zh-CN"/>
        </w:rPr>
        <w:t>德安</w:t>
      </w:r>
      <w:r>
        <w:rPr>
          <w:rFonts w:hint="default" w:ascii="Times New Roman" w:hAnsi="Times New Roman" w:eastAsia="宋体" w:cs="Times New Roman"/>
          <w:color w:val="auto"/>
          <w:sz w:val="24"/>
          <w:szCs w:val="24"/>
          <w:highlight w:val="none"/>
        </w:rPr>
        <w:t>县供水专项规划、各乡镇总体规划等相关规划，初步拟定了</w:t>
      </w:r>
      <w:r>
        <w:rPr>
          <w:rFonts w:hint="eastAsia" w:ascii="Times New Roman" w:hAnsi="Times New Roman" w:eastAsia="宋体" w:cs="Times New Roman"/>
          <w:color w:val="auto"/>
          <w:sz w:val="24"/>
          <w:szCs w:val="24"/>
          <w:highlight w:val="none"/>
          <w:lang w:val="en-US" w:eastAsia="zh-CN"/>
        </w:rPr>
        <w:t>六</w:t>
      </w:r>
      <w:r>
        <w:rPr>
          <w:rFonts w:hint="default" w:ascii="Times New Roman" w:hAnsi="Times New Roman" w:eastAsia="宋体" w:cs="Times New Roman"/>
          <w:color w:val="auto"/>
          <w:sz w:val="24"/>
          <w:szCs w:val="24"/>
          <w:highlight w:val="none"/>
        </w:rPr>
        <w:t>个供水分区布局方案。</w:t>
      </w:r>
    </w:p>
    <w:p>
      <w:pPr>
        <w:adjustRightInd w:val="0"/>
        <w:snapToGrid w:val="0"/>
        <w:spacing w:line="360" w:lineRule="auto"/>
        <w:ind w:firstLine="446" w:firstLineChars="186"/>
        <w:rPr>
          <w:rFonts w:hint="eastAsia"/>
        </w:rPr>
      </w:pPr>
      <w:r>
        <w:rPr>
          <w:rFonts w:hint="default" w:ascii="Times New Roman" w:hAnsi="Times New Roman" w:eastAsia="宋体" w:cs="Times New Roman"/>
          <w:color w:val="auto"/>
          <w:sz w:val="24"/>
          <w:szCs w:val="24"/>
          <w:highlight w:val="none"/>
        </w:rPr>
        <w:t>第二阶段为报告编制阶段。在规划第一阶段成果的基础上，提出了全县农村供水规划工程建设项目内容与规模、主要工程量和投资估算及分期实施意见等，20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下旬我司</w:t>
      </w:r>
      <w:r>
        <w:rPr>
          <w:rFonts w:hint="default" w:ascii="Times New Roman" w:hAnsi="Times New Roman" w:eastAsia="宋体" w:cs="Times New Roman"/>
          <w:color w:val="auto"/>
          <w:sz w:val="24"/>
          <w:szCs w:val="24"/>
          <w:highlight w:val="none"/>
        </w:rPr>
        <w:t>编制完成</w:t>
      </w:r>
      <w:r>
        <w:rPr>
          <w:rFonts w:hint="eastAsia" w:ascii="Times New Roman" w:hAnsi="Times New Roman" w:eastAsia="宋体" w:cs="Times New Roman"/>
          <w:color w:val="auto"/>
          <w:sz w:val="24"/>
          <w:szCs w:val="24"/>
          <w:highlight w:val="none"/>
          <w:lang w:val="en-US" w:eastAsia="zh-CN"/>
        </w:rPr>
        <w:t>本规划的</w:t>
      </w:r>
      <w:r>
        <w:rPr>
          <w:rFonts w:hint="default" w:ascii="Times New Roman" w:hAnsi="Times New Roman" w:eastAsia="宋体" w:cs="Times New Roman"/>
          <w:color w:val="auto"/>
          <w:sz w:val="24"/>
          <w:szCs w:val="24"/>
          <w:highlight w:val="none"/>
        </w:rPr>
        <w:t>送审稿。</w:t>
      </w:r>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textAlignment w:val="auto"/>
        <w:rPr>
          <w:rFonts w:hint="eastAsia" w:ascii="宋体" w:hAnsi="宋体" w:eastAsia="宋体" w:cs="宋体"/>
          <w:sz w:val="24"/>
          <w:szCs w:val="24"/>
          <w:lang w:val="en-US" w:eastAsia="zh-CN"/>
        </w:rPr>
      </w:pPr>
      <w:bookmarkStart w:id="4" w:name="_Toc15015"/>
      <w:r>
        <w:rPr>
          <w:rFonts w:hint="eastAsia" w:ascii="宋体" w:hAnsi="宋体" w:eastAsia="宋体" w:cs="宋体"/>
          <w:b/>
          <w:bCs/>
          <w:sz w:val="24"/>
          <w:szCs w:val="24"/>
          <w:lang w:val="en-US" w:eastAsia="zh-CN"/>
        </w:rPr>
        <w:t>规划</w:t>
      </w:r>
      <w:r>
        <w:rPr>
          <w:rFonts w:hint="eastAsia" w:ascii="宋体" w:hAnsi="宋体" w:eastAsia="宋体" w:cs="宋体"/>
          <w:sz w:val="24"/>
          <w:szCs w:val="24"/>
          <w:lang w:val="en-US" w:eastAsia="zh-CN"/>
        </w:rPr>
        <w:t>思路</w:t>
      </w:r>
      <w:bookmarkEnd w:id="4"/>
    </w:p>
    <w:p>
      <w:pPr>
        <w:autoSpaceDE w:val="0"/>
        <w:autoSpaceDN w:val="0"/>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按照乡村振兴梯次推进的总体部署，积极推进农村供水工程规模化建设和升级改造，以建立合理水价机制为重点，全面建立长效运行管理机制，提升农村供水管理服务水平。以县域为单元，按照城乡融合发展要求和村庄规划布局，坚持统筹规划，尽力而为，量力而行，优化农村供水格局。采取“抓两头带中间”的方式，实施规模化工程（城乡一体化和万人工程）建设和升级改造。有条件的地区（好的一头），充分利用大水源、大水厂以及现有供水设施和输配水管网，全域推进规模化工程建设。基础薄弱的地区（差的一头），以大并小，小小联合，因地制宜推进小型工程规范化建设和改造。通过“两头”一挤，带动“中间”，突出体制机制完善和“建大、并中、减小”，提升工程建设和管理水平。</w:t>
      </w:r>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textAlignment w:val="auto"/>
        <w:rPr>
          <w:rFonts w:hint="eastAsia" w:ascii="宋体" w:hAnsi="宋体" w:eastAsia="宋体" w:cs="宋体"/>
          <w:b/>
          <w:bCs/>
          <w:sz w:val="24"/>
          <w:szCs w:val="24"/>
          <w:lang w:val="en-US" w:eastAsia="zh-CN"/>
        </w:rPr>
      </w:pPr>
      <w:bookmarkStart w:id="5" w:name="_Toc31537"/>
      <w:r>
        <w:rPr>
          <w:rFonts w:hint="eastAsia" w:ascii="宋体" w:hAnsi="宋体" w:eastAsia="宋体" w:cs="宋体"/>
          <w:b/>
          <w:bCs/>
          <w:sz w:val="24"/>
          <w:szCs w:val="24"/>
          <w:lang w:val="en-US" w:eastAsia="zh-CN"/>
        </w:rPr>
        <w:t>主要规划成果</w:t>
      </w:r>
      <w:bookmarkEnd w:id="5"/>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规划至2025年，德安县城乡供水一体化工程将形成“一大一小”两个片区，分别为联合片区（含有7个水厂，分别为雁家湖水厂、林泉水厂、红桥水厂、磨溪水厂、车桥水厂、邹桥水厂、彭山水厂）以及塘山片区（含塘山水厂），实现农村自来水全覆盖。</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主要建设内容包括：</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县城及工业园区管网改造及新建工程</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随着县城及工业园区的发展，覆盖范围将逐步增加，给水管网将同步完善；同时县城内的老旧管网使用时间较长，管径较小，漏损率较高，成为了城市供水的薄弱环节，在“十四五”期间，将逐步进行改造。</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农村管网改造工程</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农村自来水工程已过去近十年，有些管网已无法满足农村的用水要求，在“十四五”期间，需要根据实际情况及乡村振兴规划对农村自来水主管网进行逐步改造。</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进村入户工程</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前，德安县农村自来水入户率已达到85%以上，但仍有大量居民的未使用上自来水，进村入户工程的任务依然很艰巨，“十四五”期间，将对进村入户工程进行查缺补漏，通过管网延伸工程及加压站的建设，扩大进村入户工程的覆盖范围。</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扩建</w:t>
      </w:r>
      <w:r>
        <w:rPr>
          <w:rFonts w:hint="eastAsia" w:ascii="宋体" w:hAnsi="宋体" w:eastAsia="宋体" w:cs="宋体"/>
          <w:color w:val="auto"/>
          <w:sz w:val="24"/>
          <w:szCs w:val="24"/>
          <w:lang w:val="en-US" w:eastAsia="zh-CN"/>
        </w:rPr>
        <w:t>两座</w:t>
      </w:r>
      <w:r>
        <w:rPr>
          <w:rFonts w:hint="eastAsia" w:ascii="宋体" w:hAnsi="宋体" w:eastAsia="宋体" w:cs="宋体"/>
          <w:color w:val="auto"/>
          <w:sz w:val="24"/>
          <w:szCs w:val="24"/>
          <w:lang w:eastAsia="zh-CN"/>
        </w:rPr>
        <w:t>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1）、彭山水厂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前，彭山水厂为丰林工业园园区水厂，主要供给工业园内生活用水，供水规模为1万m³/d。随着高塘影视小镇的实施，原有林泉水厂的水量无法满足需要，本次规划将对彭山水厂进行扩建，扩建规模为1万m³/d，建成后规模为2万m³/d。以博阳河为供水水源，与雁家湖水厂共用原水管道及取水泵房。</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2）、邹桥水厂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随着德安万年青项目的在爱民乡落地以及</w:t>
      </w:r>
      <w:r>
        <w:rPr>
          <w:rFonts w:hint="eastAsia" w:ascii="宋体" w:hAnsi="宋体" w:eastAsia="宋体" w:cs="宋体"/>
          <w:color w:val="auto"/>
          <w:sz w:val="24"/>
          <w:szCs w:val="24"/>
          <w:lang w:eastAsia="zh-CN"/>
        </w:rPr>
        <w:t>义门陈特色小镇的实施</w:t>
      </w:r>
      <w:r>
        <w:rPr>
          <w:rFonts w:hint="eastAsia" w:ascii="宋体" w:hAnsi="宋体" w:eastAsia="宋体" w:cs="宋体"/>
          <w:color w:val="auto"/>
          <w:sz w:val="24"/>
          <w:szCs w:val="24"/>
          <w:lang w:val="en-US" w:eastAsia="zh-CN"/>
        </w:rPr>
        <w:t>，对自来水的需要也越来越高，为满足万年青项目以及义门陈特色小镇项目的供水需要，规划对邹桥水厂进行扩建，扩建规模为3000m³/d，建成后，邹桥水厂总规模为5000m³/d。</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“一大六小”七个水厂，共建德安城乡供水网</w:t>
      </w:r>
    </w:p>
    <w:p>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规划至</w:t>
      </w:r>
      <w:r>
        <w:rPr>
          <w:rFonts w:hint="eastAsia" w:ascii="宋体" w:hAnsi="宋体" w:eastAsia="宋体" w:cs="宋体"/>
          <w:color w:val="auto"/>
          <w:sz w:val="24"/>
          <w:szCs w:val="24"/>
          <w:lang w:val="en-US" w:eastAsia="zh-CN"/>
        </w:rPr>
        <w:t>2025年，除偏远的塘山水厂外，各水厂直接采用连通管连同，中间设置控制阀，各水厂间可以相互备用，形成“一大六小”七个水厂组成的城乡联合供水网。</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搭建全县农村智慧水务平台</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搭建自“水源-水厂-管网”全流程的在线智慧水务平台，并将信息集中输送至彭山水厂，彭水水厂作为信息管理中心，集中处理供水系统中的各种问题，统一调度，提高水厂的应急反应能力。</w:t>
      </w:r>
    </w:p>
    <w:p>
      <w:pPr>
        <w:numPr>
          <w:ilvl w:val="0"/>
          <w:numId w:val="2"/>
        </w:numPr>
        <w:tabs>
          <w:tab w:val="left" w:pos="96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备用水源</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面实现农村自来水全覆盖，全面提高农村自来水的供水保障能力。规划建设备用水源工程，随着木环水库的实施，将以木环水库作为备用水源，同步建设备用水源管网，同时与现有柳田夏家的原水管线向连同，可以同时保障雁家湖水厂与彭山水厂的原水供给。</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规划至2025年，自来水供水规模为8.70万m³/d，其中农村地区设计供水规模为2.70万m³/d，新增供水规模为1.30万m³/d。</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覆盖供水人口：1）、全县覆盖供水人口16.5932万人，其中城市供水工程覆盖供水人口为8.5254万人，农村规模化供水工程覆盖人口7.7174万人，分散供水工程3504人；2）、农村地区覆盖供水人口10.9618万人，其中城市供水工程覆盖供水人口为2.8940万人，农村规模化供水工程覆盖人口7.7174万人，分散供水工程3504人。</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来水供水人口：1）、全县自来水供水人口16.2428万人，其中城市供水工程覆盖供水人口为8.5254万人，农村规模化供水工程覆盖人口7.7174万人；2）、农村地区覆盖供水人口10.6114万人，其中城市供水工程覆盖供水人口为2.8940万人，农村规模化供水工程覆盖人口7.7174万人。</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全县集中供水率为97.89%，农村集中供水率为96.80%。全县自来水普及率为97.89%，农村自来水普及率为96.80%，农村供水水质达标率96.80%，水源保护区划定率100%，自然村通水率95.45%。</w:t>
      </w: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规划至2025年，德安县城乡一体化供水工程总投资为9871.95万元，其中水源取水工程2360.00万元，水源地保护划、立、治60.00万元，水厂投资2250.89万元（包括水质净化设施1069.00万元，消毒设施71.89万元，水质化验室210.00万元，水质状况实时监测430.00万元，自动化监控系统170.00万元），输配水管网工程5097.20万元（包括输配水管网4313.00万元，村内管网784.2万元），计量装置73.86万元（包括进、出厂计量装置4.8万元，入户水表69.06万元）。</w:t>
      </w:r>
    </w:p>
    <w:p>
      <w:pPr>
        <w:pStyle w:val="4"/>
        <w:keepNext/>
        <w:keepLines/>
        <w:pageBreakBefore w:val="0"/>
        <w:widowControl w:val="0"/>
        <w:kinsoku/>
        <w:wordWrap/>
        <w:overflowPunct/>
        <w:topLinePunct w:val="0"/>
        <w:autoSpaceDE/>
        <w:autoSpaceDN/>
        <w:bidi w:val="0"/>
        <w:adjustRightInd w:val="0"/>
        <w:snapToGrid w:val="0"/>
        <w:spacing w:before="0" w:after="0" w:line="360" w:lineRule="auto"/>
        <w:ind w:left="0" w:firstLine="0" w:firstLineChars="0"/>
        <w:jc w:val="center"/>
        <w:textAlignment w:val="auto"/>
        <w:rPr>
          <w:rFonts w:hint="default" w:ascii="宋体" w:hAnsi="宋体" w:eastAsia="宋体" w:cs="宋体"/>
          <w:sz w:val="24"/>
          <w:szCs w:val="24"/>
          <w:lang w:val="en-US" w:eastAsia="zh-CN"/>
        </w:rPr>
      </w:pPr>
      <w:r>
        <w:rPr>
          <w:rFonts w:hint="default"/>
          <w:lang w:val="en-US" w:eastAsia="zh-CN"/>
        </w:rPr>
        <w:br w:type="page"/>
      </w:r>
      <w:bookmarkStart w:id="6" w:name="_Toc22660"/>
      <w:r>
        <w:rPr>
          <w:rFonts w:hint="eastAsia"/>
          <w:sz w:val="30"/>
          <w:szCs w:val="30"/>
          <w:lang w:val="en-US" w:eastAsia="zh-CN"/>
        </w:rPr>
        <w:t>区域</w:t>
      </w:r>
      <w:r>
        <w:rPr>
          <w:rFonts w:hint="eastAsia" w:ascii="Times New Roman" w:hAnsi="Times New Roman" w:cs="Times New Roman"/>
          <w:b/>
          <w:bCs/>
          <w:kern w:val="0"/>
          <w:sz w:val="30"/>
          <w:szCs w:val="30"/>
          <w:highlight w:val="none"/>
          <w:lang w:val="en-US" w:eastAsia="zh-CN"/>
        </w:rPr>
        <w:t>概况</w:t>
      </w:r>
      <w:bookmarkEnd w:id="6"/>
    </w:p>
    <w:p>
      <w:pPr>
        <w:pStyle w:val="5"/>
        <w:keepNext/>
        <w:keepLines/>
        <w:pageBreakBefore w:val="0"/>
        <w:widowControl w:val="0"/>
        <w:kinsoku/>
        <w:wordWrap/>
        <w:overflowPunct/>
        <w:topLinePunct w:val="0"/>
        <w:autoSpaceDE/>
        <w:autoSpaceDN/>
        <w:bidi w:val="0"/>
        <w:adjustRightInd/>
        <w:snapToGrid/>
        <w:spacing w:before="0" w:beforeLines="0"/>
        <w:ind w:left="0" w:firstLine="0" w:firstLineChars="0"/>
        <w:textAlignment w:val="auto"/>
        <w:rPr>
          <w:rFonts w:hint="eastAsia" w:ascii="宋体" w:hAnsi="宋体" w:eastAsia="宋体" w:cs="宋体"/>
          <w:b/>
          <w:bCs/>
          <w:sz w:val="24"/>
          <w:szCs w:val="24"/>
          <w:lang w:val="en-US" w:eastAsia="zh-CN"/>
        </w:rPr>
      </w:pPr>
      <w:bookmarkStart w:id="7" w:name="_Toc7144"/>
      <w:r>
        <w:rPr>
          <w:rFonts w:hint="eastAsia" w:ascii="宋体" w:hAnsi="宋体" w:eastAsia="宋体" w:cs="宋体"/>
          <w:b/>
          <w:bCs/>
          <w:sz w:val="24"/>
          <w:szCs w:val="24"/>
          <w:lang w:val="en-US" w:eastAsia="zh-CN"/>
        </w:rPr>
        <w:t>自然地理</w:t>
      </w:r>
      <w:bookmarkEnd w:id="7"/>
    </w:p>
    <w:p>
      <w:pPr>
        <w:keepNext/>
        <w:keepLines/>
        <w:widowControl w:val="0"/>
        <w:numPr>
          <w:ilvl w:val="2"/>
          <w:numId w:val="1"/>
        </w:numPr>
        <w:spacing w:line="360" w:lineRule="auto"/>
        <w:jc w:val="both"/>
        <w:outlineLvl w:val="2"/>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地理位置</w:t>
      </w:r>
    </w:p>
    <w:p>
      <w:pPr>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德安县位于赣北中部，鄱阳湖西岸,东接德安县、南邻共青城及德安县、西靠武宁县、北连瑞昌市及</w:t>
      </w:r>
      <w:r>
        <w:rPr>
          <w:rFonts w:hint="eastAsia" w:ascii="宋体" w:hAnsi="宋体" w:eastAsia="宋体" w:cs="宋体"/>
          <w:i w:val="0"/>
          <w:iCs w:val="0"/>
          <w:caps w:val="0"/>
          <w:color w:val="000000"/>
          <w:spacing w:val="0"/>
          <w:sz w:val="24"/>
          <w:szCs w:val="24"/>
        </w:rPr>
        <w:t>柴桑区</w:t>
      </w:r>
      <w:r>
        <w:rPr>
          <w:rFonts w:hint="eastAsia" w:ascii="宋体" w:hAnsi="宋体" w:eastAsia="宋体" w:cs="Times New Roman"/>
          <w:sz w:val="24"/>
          <w:szCs w:val="24"/>
        </w:rPr>
        <w:t>。地理位置位于东经115°23′-115°49′53′，北纬29°10′-29°35′之间，其地形如阔叶状，东西长约42.6公里，南北宽约40.8公里，总面积为864.5平方公里，合129.67万亩，其中山地面积84.99万亩，耕地面积19.81万亩，水面6.16万亩。德安县区位优势明显，交通十分便利。105国道、昌九高速公路、京九铁路和316国道穿境而过。德白公路、林白公路纵贯城乡，村级道路建设不断升级，村级水泥路面改造正在全面启动并加紧实施中，德安已经形成了对外四通八达、对内纵横交错的交通网络。2019年3月，被确定为第一批革命文物保护利用片区分县名单。</w:t>
      </w:r>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地形地貌</w:t>
      </w:r>
    </w:p>
    <w:p>
      <w:pPr>
        <w:autoSpaceDE w:val="0"/>
        <w:autoSpaceDN w:val="0"/>
        <w:adjustRightInd w:val="0"/>
        <w:ind w:firstLine="570"/>
        <w:jc w:val="left"/>
        <w:rPr>
          <w:rFonts w:hint="eastAsia" w:ascii="宋体" w:hAnsi="宋体" w:eastAsia="宋体" w:cs="Times New Roman"/>
          <w:color w:val="000000"/>
          <w:kern w:val="0"/>
          <w:sz w:val="24"/>
          <w:szCs w:val="24"/>
          <w:lang w:eastAsia="zh-CN"/>
        </w:rPr>
      </w:pPr>
      <w:r>
        <w:rPr>
          <w:rFonts w:hint="eastAsia" w:ascii="宋体" w:hAnsi="宋体" w:eastAsia="宋体" w:cs="Times New Roman"/>
          <w:color w:val="000000"/>
          <w:kern w:val="0"/>
          <w:sz w:val="24"/>
          <w:szCs w:val="24"/>
          <w:lang w:eastAsia="zh-CN"/>
        </w:rPr>
        <w:t>德安县属低山丘陵地区，南北高、东南低，三面环山，东南角临近鄱阳湖滨；北有幕阜山东延余脉—茶子山、潘狮山、金盆寺绵延构北部低山地形；西南有小岷山呈北东及东西延伸，构成南部低山地形；中部广大丘陵地带尚有彭山呈北东展布高耸。一般山岭海拔高度200-600米左右，最高峰为西北部茶子山海拔为665.1米。最低处为东南角共青天南湖郑泗一带海拔15米，为德安县</w:t>
      </w:r>
      <w:r>
        <w:rPr>
          <w:rFonts w:hint="eastAsia" w:ascii="宋体" w:hAnsi="宋体" w:eastAsia="宋体" w:cs="宋体"/>
          <w:i w:val="0"/>
          <w:iCs w:val="0"/>
          <w:caps w:val="0"/>
          <w:color w:val="000000"/>
          <w:spacing w:val="0"/>
          <w:sz w:val="24"/>
          <w:szCs w:val="24"/>
        </w:rPr>
        <w:t>径流</w:t>
      </w:r>
      <w:r>
        <w:rPr>
          <w:rFonts w:hint="eastAsia" w:ascii="宋体" w:hAnsi="宋体" w:eastAsia="宋体" w:cs="Times New Roman"/>
          <w:color w:val="000000"/>
          <w:kern w:val="0"/>
          <w:sz w:val="24"/>
          <w:szCs w:val="24"/>
          <w:lang w:eastAsia="zh-CN"/>
        </w:rPr>
        <w:t>分口处。德安县低山面积约169.1平方公里，占德安县总面积19.6%，丘陵地区面积约为558.4平方公里；占德安县总面积64.7%，滨湖波状平原（包括临近鄱阳湖的岗丘缓坡和博阳河两岸的河谷阶地）面积约135.5平方公里，占德安县总面积的15.7%。</w:t>
      </w:r>
    </w:p>
    <w:p>
      <w:pPr>
        <w:autoSpaceDE w:val="0"/>
        <w:autoSpaceDN w:val="0"/>
        <w:adjustRightInd w:val="0"/>
        <w:ind w:firstLine="570"/>
        <w:jc w:val="left"/>
        <w:rPr>
          <w:rFonts w:hint="eastAsia" w:ascii="宋体" w:hAnsi="宋体" w:eastAsia="宋体" w:cs="Times New Roman"/>
          <w:color w:val="000000"/>
          <w:kern w:val="0"/>
          <w:sz w:val="24"/>
          <w:szCs w:val="24"/>
          <w:lang w:eastAsia="zh-CN"/>
        </w:rPr>
      </w:pPr>
      <w:r>
        <w:rPr>
          <w:rFonts w:hint="eastAsia" w:ascii="宋体" w:hAnsi="宋体" w:eastAsia="宋体" w:cs="Times New Roman"/>
          <w:color w:val="000000"/>
          <w:kern w:val="0"/>
          <w:sz w:val="24"/>
          <w:szCs w:val="24"/>
          <w:lang w:eastAsia="zh-CN"/>
        </w:rPr>
        <w:t>全县地貌由侵蚀岩溶低山、侵蚀构造低山、构造剥蚀丘陵和侵蚀堆积平原等四个基本地貌组成。</w:t>
      </w:r>
    </w:p>
    <w:p>
      <w:pPr>
        <w:autoSpaceDE w:val="0"/>
        <w:autoSpaceDN w:val="0"/>
        <w:adjustRightInd w:val="0"/>
        <w:ind w:firstLine="570"/>
        <w:jc w:val="left"/>
        <w:rPr>
          <w:rFonts w:hint="eastAsia" w:ascii="宋体" w:hAnsi="宋体" w:eastAsia="宋体" w:cs="Times New Roman"/>
          <w:color w:val="000000"/>
          <w:kern w:val="0"/>
          <w:sz w:val="24"/>
          <w:szCs w:val="24"/>
          <w:lang w:eastAsia="zh-CN"/>
        </w:rPr>
      </w:pPr>
      <w:r>
        <w:rPr>
          <w:rFonts w:hint="eastAsia" w:ascii="宋体" w:hAnsi="宋体" w:eastAsia="宋体" w:cs="Times New Roman"/>
          <w:color w:val="000000"/>
          <w:kern w:val="0"/>
          <w:sz w:val="24"/>
          <w:szCs w:val="24"/>
          <w:lang w:eastAsia="zh-CN"/>
        </w:rPr>
        <w:t>1、侵蚀岩溶低山地形：分布于塘山、付山一带，由奥陶系、石炭系、二</w:t>
      </w:r>
      <w:r>
        <w:rPr>
          <w:rFonts w:hint="eastAsia" w:ascii="宋体" w:hAnsi="宋体" w:eastAsia="宋体" w:cs="宋体"/>
          <w:i w:val="0"/>
          <w:iCs w:val="0"/>
          <w:caps w:val="0"/>
          <w:color w:val="000000"/>
          <w:spacing w:val="0"/>
          <w:sz w:val="24"/>
          <w:szCs w:val="24"/>
        </w:rPr>
        <w:t>叠</w:t>
      </w:r>
      <w:r>
        <w:rPr>
          <w:rFonts w:hint="eastAsia" w:ascii="宋体" w:hAnsi="宋体" w:eastAsia="宋体" w:cs="Times New Roman"/>
          <w:color w:val="000000"/>
          <w:kern w:val="0"/>
          <w:sz w:val="24"/>
          <w:szCs w:val="24"/>
          <w:lang w:eastAsia="zh-CN"/>
        </w:rPr>
        <w:t>三</w:t>
      </w:r>
      <w:r>
        <w:rPr>
          <w:rFonts w:hint="eastAsia" w:ascii="宋体" w:hAnsi="宋体" w:eastAsia="宋体" w:cs="宋体"/>
          <w:i w:val="0"/>
          <w:iCs w:val="0"/>
          <w:caps w:val="0"/>
          <w:color w:val="000000"/>
          <w:spacing w:val="0"/>
          <w:sz w:val="24"/>
          <w:szCs w:val="24"/>
        </w:rPr>
        <w:t>叠</w:t>
      </w:r>
      <w:r>
        <w:rPr>
          <w:rFonts w:hint="eastAsia" w:ascii="宋体" w:hAnsi="宋体" w:eastAsia="宋体" w:cs="Times New Roman"/>
          <w:color w:val="000000"/>
          <w:kern w:val="0"/>
          <w:sz w:val="24"/>
          <w:szCs w:val="24"/>
          <w:lang w:eastAsia="zh-CN"/>
        </w:rPr>
        <w:t>系灰岩组成，溶洞、溶槽、石芽溶洞、落水洞及暗河分布甚广，但规模不大。</w:t>
      </w:r>
    </w:p>
    <w:p>
      <w:pPr>
        <w:autoSpaceDE w:val="0"/>
        <w:autoSpaceDN w:val="0"/>
        <w:adjustRightInd w:val="0"/>
        <w:ind w:firstLine="570"/>
        <w:jc w:val="left"/>
        <w:rPr>
          <w:rFonts w:hint="eastAsia" w:ascii="宋体" w:hAnsi="宋体" w:eastAsia="宋体" w:cs="Times New Roman"/>
          <w:color w:val="000000"/>
          <w:kern w:val="0"/>
          <w:sz w:val="24"/>
          <w:szCs w:val="24"/>
          <w:lang w:eastAsia="zh-CN"/>
        </w:rPr>
      </w:pPr>
      <w:r>
        <w:rPr>
          <w:rFonts w:hint="eastAsia" w:ascii="宋体" w:hAnsi="宋体" w:eastAsia="宋体" w:cs="Times New Roman"/>
          <w:color w:val="000000"/>
          <w:kern w:val="0"/>
          <w:sz w:val="24"/>
          <w:szCs w:val="24"/>
          <w:lang w:eastAsia="zh-CN"/>
        </w:rPr>
        <w:t>2、侵蚀构造低山地形：分布于塘山茶子山一带，山势陡峻，地势较高，侵蚀切割后山顶呈尖锥形，沟谷深切。</w:t>
      </w:r>
    </w:p>
    <w:p>
      <w:pPr>
        <w:autoSpaceDE w:val="0"/>
        <w:autoSpaceDN w:val="0"/>
        <w:adjustRightInd w:val="0"/>
        <w:ind w:firstLine="570"/>
        <w:jc w:val="left"/>
        <w:rPr>
          <w:rFonts w:hint="eastAsia" w:ascii="宋体" w:hAnsi="宋体" w:eastAsia="宋体" w:cs="Times New Roman"/>
          <w:color w:val="000000"/>
          <w:kern w:val="0"/>
          <w:sz w:val="24"/>
          <w:szCs w:val="24"/>
          <w:lang w:eastAsia="zh-CN"/>
        </w:rPr>
      </w:pPr>
      <w:r>
        <w:rPr>
          <w:rFonts w:hint="eastAsia" w:ascii="宋体" w:hAnsi="宋体" w:eastAsia="宋体" w:cs="Times New Roman"/>
          <w:color w:val="000000"/>
          <w:kern w:val="0"/>
          <w:sz w:val="24"/>
          <w:szCs w:val="24"/>
          <w:lang w:eastAsia="zh-CN"/>
        </w:rPr>
        <w:t>3、构造剥蚀丘陵地形：县内广布，由元古界板溪群、志留系中下统的粉砂质泥质页岩、砂岩及板岩组成，抗风化能力差，在外力侵蚀下，丘顶呈浑圆状，山坡平缓，坡度在10～30度之间，冲沟发育。</w:t>
      </w:r>
    </w:p>
    <w:p>
      <w:pPr>
        <w:autoSpaceDE w:val="0"/>
        <w:autoSpaceDN w:val="0"/>
        <w:adjustRightInd w:val="0"/>
        <w:ind w:firstLine="570"/>
        <w:jc w:val="left"/>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eastAsia="zh-CN"/>
        </w:rPr>
        <w:t>4、侵蚀堆积平原地形：分布博阳河两岸，有河谷阶地和岗丘两个亚区。</w:t>
      </w:r>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气候与气象</w:t>
      </w:r>
    </w:p>
    <w:p>
      <w:pPr>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德安县属中亚热带（北缘）季风湿润气候区，总的特征是，温暖温润，雨水丰而不调，上半年多阴雨，下半年光照充足，春阴夏热，秋旱冬冷，四季分明。</w:t>
      </w:r>
    </w:p>
    <w:p>
      <w:pPr>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气温：年平均所温16.8℃，1月最冷，平均气温4.1℃，极端最低气温-11.2℃，7月最热，平均气温28.8℃，极端最高气温40.4℃。日平均气温稳定。通常16℃—20℃的双季稻生长期约180天，此间活动积温，中部、东南部丘陵平原区为4100℃—4600℃，西北低山区为℃3550℃—4099℃，年平均无霖期248天，最长为281天，最短只有214天，可见本县热量资源丰富，除少数两个低山区的乡外，均有利双季稻棉花和喜温的亚热带林木生长。</w:t>
      </w:r>
    </w:p>
    <w:p>
      <w:pPr>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日照：年太阳总辐射量为108.06千卡/平方厘米，日辐射总量最高值在7月，为14.06千卡/平方厘米，最低值在1月，为5.78千卡/平方厘米，年平均日照时数1878.6小时，日照率43%，作物生长旺盛的4—6月平均日照183.5小时，7—8月平均日照达249小时。</w:t>
      </w:r>
    </w:p>
    <w:p>
      <w:pPr>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降水量：年平均降雨量1354.1毫米，年平均降水日为131—146天，县域内降水量地区分布差异不大，但年际、年内间变幅较大，因而易发生旱涝灾害，雨量集中在4—6月，达613.6毫米，占全年降水量46.2%，10—12月降水量最少为150毫米，占年降水量11%。</w:t>
      </w:r>
    </w:p>
    <w:p>
      <w:pPr>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eastAsia="zh-CN"/>
        </w:rPr>
        <w:t>灾害性天气：有干旱、洪涝、春寒、小满寒、寒露汛、冻害、大风、冰雹等，对农业危害最大的是伏旱、秋旱和4—6月的洪涝灾害。</w:t>
      </w:r>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水文地质</w:t>
      </w:r>
    </w:p>
    <w:p>
      <w:pPr>
        <w:pStyle w:val="14"/>
        <w:spacing w:line="360" w:lineRule="auto"/>
        <w:rPr>
          <w:rFonts w:hint="eastAsia" w:ascii="宋体" w:hAnsi="宋体" w:eastAsia="宋体" w:cs="Times New Roman"/>
          <w:sz w:val="24"/>
          <w:szCs w:val="24"/>
        </w:rPr>
      </w:pPr>
      <w:r>
        <w:rPr>
          <w:rFonts w:hint="eastAsia" w:ascii="宋体" w:hAnsi="宋体" w:eastAsia="宋体" w:cs="Times New Roman"/>
          <w:sz w:val="24"/>
          <w:szCs w:val="24"/>
        </w:rPr>
        <w:t>德安县博阳河流域内主要地层的水文地质特征如下：</w:t>
      </w:r>
    </w:p>
    <w:p>
      <w:pPr>
        <w:pStyle w:val="14"/>
        <w:spacing w:line="360" w:lineRule="auto"/>
        <w:rPr>
          <w:rFonts w:hint="eastAsia" w:ascii="宋体" w:hAnsi="宋体" w:eastAsia="宋体" w:cs="Times New Roman"/>
          <w:sz w:val="24"/>
          <w:szCs w:val="24"/>
        </w:rPr>
      </w:pPr>
      <w:r>
        <w:rPr>
          <w:rFonts w:hint="eastAsia" w:ascii="宋体" w:hAnsi="宋体" w:eastAsia="宋体" w:cs="Times New Roman"/>
          <w:sz w:val="24"/>
          <w:szCs w:val="24"/>
        </w:rPr>
        <w:t>志留系地层：为碎屑岩类孔隙—裂隙含水岩组，富水程度弱，钻孔单位涌水量一般小于0.7吨/时.米，泉涌量小于5吨/时。</w:t>
      </w:r>
    </w:p>
    <w:p>
      <w:pPr>
        <w:pStyle w:val="14"/>
        <w:spacing w:line="360" w:lineRule="auto"/>
        <w:rPr>
          <w:rFonts w:hint="eastAsia" w:ascii="宋体" w:hAnsi="宋体" w:eastAsia="宋体" w:cs="Times New Roman"/>
          <w:sz w:val="24"/>
          <w:szCs w:val="24"/>
        </w:rPr>
      </w:pPr>
      <w:r>
        <w:rPr>
          <w:rFonts w:hint="eastAsia" w:ascii="宋体" w:hAnsi="宋体" w:eastAsia="宋体" w:cs="Times New Roman"/>
          <w:sz w:val="24"/>
          <w:szCs w:val="24"/>
        </w:rPr>
        <w:t>寒武系、奥陶系地层：为碳酸盐岩类碎屑类裂隙—好溶含水岩组，富水程度弱，含水层厚30—114米，水位埋深3—37米，在结构条件适宜时，可局部自流，钻孔单位涌水量一般小于1吨/时.米，泉流量小于5吨/时。</w:t>
      </w:r>
    </w:p>
    <w:p>
      <w:pPr>
        <w:pStyle w:val="14"/>
        <w:spacing w:line="360" w:lineRule="auto"/>
        <w:rPr>
          <w:rFonts w:hint="eastAsia" w:ascii="宋体" w:hAnsi="宋体" w:eastAsia="宋体" w:cs="Times New Roman"/>
          <w:sz w:val="24"/>
          <w:szCs w:val="24"/>
        </w:rPr>
      </w:pPr>
      <w:r>
        <w:rPr>
          <w:rFonts w:hint="eastAsia" w:ascii="宋体" w:hAnsi="宋体" w:eastAsia="宋体" w:cs="Times New Roman"/>
          <w:sz w:val="24"/>
          <w:szCs w:val="24"/>
        </w:rPr>
        <w:t>中元古界地层：为变质岩类裂隙含水岩组，富水程度弱，钻孔单位涌水量小于0.7吨/时.米，泉流量小于3吨/时，水位埋深一般小于10米，受构造断裂影响时，可局部自流。</w:t>
      </w:r>
    </w:p>
    <w:p>
      <w:pPr>
        <w:pStyle w:val="14"/>
        <w:spacing w:line="360" w:lineRule="auto"/>
        <w:rPr>
          <w:rFonts w:hint="eastAsia" w:ascii="宋体" w:hAnsi="宋体" w:eastAsia="宋体" w:cs="Times New Roman"/>
          <w:sz w:val="24"/>
          <w:szCs w:val="24"/>
        </w:rPr>
      </w:pPr>
      <w:r>
        <w:rPr>
          <w:rFonts w:hint="eastAsia" w:ascii="宋体" w:hAnsi="宋体" w:eastAsia="宋体" w:cs="Times New Roman"/>
          <w:sz w:val="24"/>
          <w:szCs w:val="24"/>
        </w:rPr>
        <w:t>第四系全新统地层：为松散岩类孔隙含水岩组，富水程度为极弱，含水层厚8—30米，地下水位埋深1—6米，钻孔单位涌水量0.04—0.9吨/时.米。</w:t>
      </w:r>
    </w:p>
    <w:p>
      <w:pPr>
        <w:pStyle w:val="14"/>
        <w:spacing w:line="360" w:lineRule="auto"/>
        <w:rPr>
          <w:rFonts w:hint="eastAsia" w:ascii="宋体" w:hAnsi="宋体" w:eastAsia="宋体" w:cs="Times New Roman"/>
          <w:sz w:val="24"/>
          <w:szCs w:val="24"/>
        </w:rPr>
      </w:pPr>
      <w:r>
        <w:rPr>
          <w:rFonts w:hint="eastAsia" w:ascii="宋体" w:hAnsi="宋体" w:eastAsia="宋体" w:cs="Times New Roman"/>
          <w:sz w:val="24"/>
          <w:szCs w:val="24"/>
        </w:rPr>
        <w:t>流域内各地层的富水程度都较弱，一般水量不丰，主要受大气降水补给而排泄到河床。</w:t>
      </w:r>
    </w:p>
    <w:p>
      <w:pPr>
        <w:pStyle w:val="5"/>
        <w:keepNext/>
        <w:keepLines/>
        <w:pageBreakBefore w:val="0"/>
        <w:widowControl w:val="0"/>
        <w:kinsoku/>
        <w:wordWrap/>
        <w:overflowPunct/>
        <w:topLinePunct w:val="0"/>
        <w:autoSpaceDE/>
        <w:autoSpaceDN/>
        <w:bidi w:val="0"/>
        <w:adjustRightInd/>
        <w:snapToGrid/>
        <w:spacing w:before="0" w:beforeLines="0"/>
        <w:ind w:left="0" w:firstLine="0" w:firstLineChars="0"/>
        <w:textAlignment w:val="auto"/>
        <w:rPr>
          <w:rFonts w:hint="eastAsia" w:ascii="宋体" w:hAnsi="宋体" w:eastAsia="宋体" w:cs="宋体"/>
          <w:b/>
          <w:bCs/>
          <w:sz w:val="24"/>
          <w:szCs w:val="24"/>
          <w:lang w:val="en-US" w:eastAsia="zh-CN"/>
        </w:rPr>
      </w:pPr>
      <w:bookmarkStart w:id="8" w:name="_Toc22287"/>
      <w:r>
        <w:rPr>
          <w:rFonts w:hint="eastAsia" w:ascii="宋体" w:hAnsi="宋体" w:eastAsia="宋体" w:cs="宋体"/>
          <w:b/>
          <w:bCs/>
          <w:sz w:val="24"/>
          <w:szCs w:val="24"/>
          <w:lang w:val="en-US" w:eastAsia="zh-CN"/>
        </w:rPr>
        <w:t>社会经济概况</w:t>
      </w:r>
      <w:bookmarkEnd w:id="8"/>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根据德安县2018年国民经济和社会发展统计公报：2018年，在县委、县政府的坚强领导下，全县上下以改革开放40周年为契机，深入贯彻习近平新时代中国特色社会主义思想和党的十九大精神，加快推进高质量跨越式发展，全县经济社会发展实现了稳中有进、稳中趋优、稳中向好的态势。</w:t>
      </w:r>
    </w:p>
    <w:p>
      <w:pPr>
        <w:ind w:firstLine="480" w:firstLineChars="200"/>
        <w:jc w:val="left"/>
        <w:rPr>
          <w:rFonts w:hint="default" w:ascii="宋体" w:hAnsi="宋体" w:eastAsia="宋体" w:cs="Times New Roman"/>
          <w:color w:val="auto"/>
          <w:sz w:val="24"/>
          <w:szCs w:val="24"/>
          <w:lang w:val="en-US" w:eastAsia="zh-CN"/>
        </w:rPr>
      </w:pPr>
      <w:bookmarkStart w:id="9" w:name="_Toc17445_WPSOffice_Level2"/>
      <w:bookmarkStart w:id="10" w:name="_Toc1200_WPSOffice_Level2"/>
      <w:r>
        <w:rPr>
          <w:rFonts w:hint="default" w:ascii="宋体" w:hAnsi="宋体" w:eastAsia="宋体" w:cs="Times New Roman"/>
          <w:color w:val="auto"/>
          <w:sz w:val="24"/>
          <w:szCs w:val="24"/>
          <w:lang w:val="en-US" w:eastAsia="zh-CN"/>
        </w:rPr>
        <w:t>一、综合</w:t>
      </w:r>
      <w:bookmarkEnd w:id="9"/>
      <w:bookmarkEnd w:id="10"/>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2018年，全县完成生产总值127.6亿元，增长9.3%。其中：第一产业完成增加值7.9亿元，增长3.1%;第二产业完成增加值84.4亿元，增长9.2%;第三产业完成增加值35.3亿元，增长11.1%。三次产业结构由2017年的6.6:66:27.4调整为6.2:66.1:27.7。在第三产业中交通运输仓储和邮政业、批发和零售业、住宿和餐饮业、金融业、房地产业、营利性服务业及非营利性服务业增加值分别增长3%、7.2%、7%、27.4%、11.8%、21.6%和9.1%。</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2018年全年实现财政总收入20.5亿元，比上年增长12.1%，其中：完成地方财政收入13亿元，增长7.8%;人均财政总收入11666元;财政收入占GDP的比重16.1%，比上年下降0.3个百分点;税收收入17.8亿元,占财政收入比重86.4%，比上年提高2.1个百分点。全年财政总支出25.7亿元，比上年增长10.7%。</w:t>
      </w:r>
    </w:p>
    <w:p>
      <w:pPr>
        <w:ind w:firstLine="480" w:firstLineChars="200"/>
        <w:jc w:val="left"/>
        <w:rPr>
          <w:rFonts w:hint="default" w:ascii="宋体" w:hAnsi="宋体" w:eastAsia="宋体" w:cs="Times New Roman"/>
          <w:color w:val="auto"/>
          <w:sz w:val="24"/>
          <w:szCs w:val="24"/>
          <w:lang w:val="en-US" w:eastAsia="zh-CN"/>
        </w:rPr>
      </w:pPr>
      <w:bookmarkStart w:id="11" w:name="_Toc27919_WPSOffice_Level2"/>
      <w:bookmarkStart w:id="12" w:name="_Toc27983_WPSOffice_Level2"/>
      <w:r>
        <w:rPr>
          <w:rFonts w:hint="default" w:ascii="宋体" w:hAnsi="宋体" w:eastAsia="宋体" w:cs="Times New Roman"/>
          <w:color w:val="auto"/>
          <w:sz w:val="24"/>
          <w:szCs w:val="24"/>
          <w:lang w:val="en-US" w:eastAsia="zh-CN"/>
        </w:rPr>
        <w:t>二、农　业</w:t>
      </w:r>
      <w:bookmarkEnd w:id="11"/>
      <w:bookmarkEnd w:id="12"/>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2018年全年实现农林牧渔业增加值8.2亿元，按可比价格计算，比上年增长3.3%。全年农作物播种面积34.5万亩，比上年增加7.5%。其中：粮食播种面积18.9万亩，比上年增加4.2万亩，增长28.6%;棉花播种面积1.98万亩，减少0.6万亩，下降23.8%;油料播种面积7.4万亩，增加0.5万亩;蔬菜播种面积4.3万亩，减少0.7万亩，下降14%。</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全年粮食总产量68700吨，比上年增长15%;油料产量8044吨，增长17%;棉花产量1964吨，下降22.7%;蔬菜产量40215吨，下降22%;水果产量5765吨，增长0.1%。</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全年肉类总产量10720吨，比上年下降14.6%;生猪出栏80988头，下降7.8%;生猪存栏53363头，下降6.7%;水产品产量6980吨，下降6.8%。</w:t>
      </w:r>
    </w:p>
    <w:p>
      <w:pPr>
        <w:ind w:firstLine="480" w:firstLineChars="200"/>
        <w:jc w:val="left"/>
        <w:rPr>
          <w:rFonts w:hint="default" w:ascii="宋体" w:hAnsi="宋体" w:eastAsia="宋体" w:cs="Times New Roman"/>
          <w:color w:val="auto"/>
          <w:sz w:val="24"/>
          <w:szCs w:val="24"/>
          <w:lang w:val="en-US" w:eastAsia="zh-CN"/>
        </w:rPr>
      </w:pPr>
      <w:bookmarkStart w:id="13" w:name="_Toc32114_WPSOffice_Level2"/>
      <w:bookmarkStart w:id="14" w:name="_Toc19294_WPSOffice_Level2"/>
      <w:r>
        <w:rPr>
          <w:rFonts w:hint="default" w:ascii="宋体" w:hAnsi="宋体" w:eastAsia="宋体" w:cs="Times New Roman"/>
          <w:color w:val="auto"/>
          <w:sz w:val="24"/>
          <w:szCs w:val="24"/>
          <w:lang w:val="en-US" w:eastAsia="zh-CN"/>
        </w:rPr>
        <w:t>三、工业和建筑业</w:t>
      </w:r>
      <w:bookmarkEnd w:id="13"/>
      <w:bookmarkEnd w:id="14"/>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2018年末，全县共有规模以上工业企业140家，实现规模以上工业总产值458.1亿元，增长14.3%。分轻重工业看，规模以上轻工业产值227.2亿元，增长6.5%;重工业产值225.4亿元，增长21.1%。分企业类型看，规模以上股份制企业产值415.3亿元，增长14.2%;外商及港澳台商企业产值37.3亿元，增长14%;其他经济类型企业产值5.4亿元，增长28.3%。</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规模以上工业实现利润28.5亿元，比上年增长23.2%，实现主营业务收入438.6亿元，增长8.5%。主要工业产品产量有增有减。水泥产量60.4万吨，增长31.6%;轮胎产量29.8万条，下降9.1%;纱产量11.4万吨，增长9.2%;服装产量2664万件，增长22.1%。</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园区全年完成主营业务收入409.4亿元，同比增长7%;实现利润总额26.7亿元，增长22.1%;园区基础设施建设更加完善，建成面积达11平方公里;年末入园投产工业企业138家，安置从业人数2.36万人。</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全年实现建筑业增加值8.5亿元，比上年增长10%;资质等级以上建筑业企业完成施工产值14.95亿元，增长17.7%，施工房屋面积61.3万平方米，竣工房屋建筑面积41.9万平方米，从业人员3906人。</w:t>
      </w:r>
    </w:p>
    <w:p>
      <w:pPr>
        <w:ind w:firstLine="480" w:firstLineChars="200"/>
        <w:jc w:val="left"/>
        <w:rPr>
          <w:rFonts w:hint="default" w:ascii="宋体" w:hAnsi="宋体" w:eastAsia="宋体" w:cs="Times New Roman"/>
          <w:color w:val="auto"/>
          <w:sz w:val="24"/>
          <w:szCs w:val="24"/>
          <w:lang w:val="en-US" w:eastAsia="zh-CN"/>
        </w:rPr>
      </w:pPr>
      <w:bookmarkStart w:id="15" w:name="_Toc15927_WPSOffice_Level2"/>
      <w:bookmarkStart w:id="16" w:name="_Toc2239_WPSOffice_Level2"/>
      <w:r>
        <w:rPr>
          <w:rFonts w:hint="default" w:ascii="宋体" w:hAnsi="宋体" w:eastAsia="宋体" w:cs="Times New Roman"/>
          <w:color w:val="auto"/>
          <w:sz w:val="24"/>
          <w:szCs w:val="24"/>
          <w:lang w:val="en-US" w:eastAsia="zh-CN"/>
        </w:rPr>
        <w:t>四、固定资产投资</w:t>
      </w:r>
      <w:bookmarkEnd w:id="15"/>
      <w:bookmarkEnd w:id="16"/>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全年完成固定资产投资同比增长11%，其中房地产开发投资增长28.2%。按产业划分，全县二、三产业投资分别增长13.3%、2.5%。</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全县亿元以上新开工项目27个，亿元以上新开工项目完成投资10亿元。</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全年房地产开发投资比上年增长28.2%。商品房竣工面积21万平方米，增长177.8%;商品房销售面积22.4万平方米，增长16%;商品房销售额9.4亿元，增长11.7%。</w:t>
      </w:r>
    </w:p>
    <w:p>
      <w:pPr>
        <w:ind w:firstLine="480" w:firstLineChars="200"/>
        <w:jc w:val="left"/>
        <w:rPr>
          <w:rFonts w:hint="default" w:ascii="宋体" w:hAnsi="宋体" w:eastAsia="宋体" w:cs="Times New Roman"/>
          <w:color w:val="auto"/>
          <w:sz w:val="24"/>
          <w:szCs w:val="24"/>
          <w:lang w:val="en-US" w:eastAsia="zh-CN"/>
        </w:rPr>
      </w:pPr>
      <w:bookmarkStart w:id="17" w:name="_Toc31440_WPSOffice_Level2"/>
      <w:bookmarkStart w:id="18" w:name="_Toc23905_WPSOffice_Level2"/>
      <w:r>
        <w:rPr>
          <w:rFonts w:hint="default" w:ascii="宋体" w:hAnsi="宋体" w:eastAsia="宋体" w:cs="Times New Roman"/>
          <w:color w:val="auto"/>
          <w:sz w:val="24"/>
          <w:szCs w:val="24"/>
          <w:lang w:val="en-US" w:eastAsia="zh-CN"/>
        </w:rPr>
        <w:t>五、贸易</w:t>
      </w:r>
      <w:bookmarkEnd w:id="17"/>
      <w:bookmarkEnd w:id="18"/>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全县实现社会消费品零售总额25.2亿元，增长11.5%，分城乡看，城镇实现零售额16.4亿元，增长11.5%;乡村实现零售额8.8亿元，增长11.3%,城镇快于乡村0.2个百分点。其中限额以上企业(单位)实现消费品零售额8.9亿元,增长13.7%。</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限额以上批发零售业零售额分商品看：粮油、食品类增长48.1%;服装、鞋帽、针纺织品类增长28.3%;化妆品类增长52.3%;计算机及其配套产品增长4%。</w:t>
      </w:r>
    </w:p>
    <w:p>
      <w:pPr>
        <w:ind w:firstLine="480" w:firstLineChars="200"/>
        <w:jc w:val="left"/>
        <w:rPr>
          <w:rFonts w:hint="default" w:ascii="宋体" w:hAnsi="宋体" w:eastAsia="宋体" w:cs="Times New Roman"/>
          <w:color w:val="auto"/>
          <w:sz w:val="24"/>
          <w:szCs w:val="24"/>
          <w:lang w:val="en-US" w:eastAsia="zh-CN"/>
        </w:rPr>
      </w:pPr>
      <w:bookmarkStart w:id="19" w:name="_Toc16090_WPSOffice_Level2"/>
      <w:bookmarkStart w:id="20" w:name="_Toc2620_WPSOffice_Level2"/>
      <w:r>
        <w:rPr>
          <w:rFonts w:hint="default" w:ascii="宋体" w:hAnsi="宋体" w:eastAsia="宋体" w:cs="Times New Roman"/>
          <w:color w:val="auto"/>
          <w:sz w:val="24"/>
          <w:szCs w:val="24"/>
          <w:lang w:val="en-US" w:eastAsia="zh-CN"/>
        </w:rPr>
        <w:t>六、对外经济</w:t>
      </w:r>
      <w:bookmarkEnd w:id="19"/>
      <w:bookmarkEnd w:id="20"/>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全年新签约外资项目5个，实际利用外资金额14729万美元，比上年增长10.5%。新签约内资项目46个，引进县外资金金额143亿元，增长18.8%，出口总额16.3亿元，增长22.3%。</w:t>
      </w:r>
    </w:p>
    <w:p>
      <w:pPr>
        <w:ind w:firstLine="480" w:firstLineChars="200"/>
        <w:jc w:val="left"/>
        <w:rPr>
          <w:rFonts w:hint="default" w:ascii="宋体" w:hAnsi="宋体" w:eastAsia="宋体" w:cs="Times New Roman"/>
          <w:color w:val="auto"/>
          <w:sz w:val="24"/>
          <w:szCs w:val="24"/>
          <w:lang w:val="en-US" w:eastAsia="zh-CN"/>
        </w:rPr>
      </w:pPr>
      <w:bookmarkStart w:id="21" w:name="_Toc1661_WPSOffice_Level2"/>
      <w:bookmarkStart w:id="22" w:name="_Toc11074_WPSOffice_Level2"/>
      <w:r>
        <w:rPr>
          <w:rFonts w:hint="default" w:ascii="宋体" w:hAnsi="宋体" w:eastAsia="宋体" w:cs="Times New Roman"/>
          <w:color w:val="auto"/>
          <w:sz w:val="24"/>
          <w:szCs w:val="24"/>
          <w:lang w:val="en-US" w:eastAsia="zh-CN"/>
        </w:rPr>
        <w:t>七、交通运输、邮电通信和旅游</w:t>
      </w:r>
      <w:bookmarkEnd w:id="21"/>
      <w:bookmarkEnd w:id="22"/>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完成货物周转量74962万吨公里，其中：公路货物周转量59300万吨公里，铁路货物周转量13832万吨公里。公路客运量355万人，铁路客运量82万人;公路货运量667万吨，铁路货运量6.4万吨;全县境内公路里程1203公里，铁路营业里程23公里。</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全县邮电业务总量13273.8万元，增长5.9%。其中：邮政业务总量1400.3万元，增长6.4%;电信业务总量11873.5万元，增长5.7%;固定电话用户23849户;移动电话用户达到171153户;计算机宽带互联网用户56137万户。</w:t>
      </w:r>
    </w:p>
    <w:p>
      <w:pPr>
        <w:ind w:firstLine="480" w:firstLineChars="200"/>
        <w:jc w:val="left"/>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全年全县旅游总人数258.3万人次，增长21.6%，实现旅游综合收入12.9亿元，增长20.9%。</w:t>
      </w:r>
    </w:p>
    <w:p>
      <w:pPr>
        <w:pStyle w:val="5"/>
        <w:keepNext/>
        <w:keepLines/>
        <w:pageBreakBefore w:val="0"/>
        <w:widowControl w:val="0"/>
        <w:kinsoku/>
        <w:wordWrap/>
        <w:overflowPunct/>
        <w:topLinePunct w:val="0"/>
        <w:autoSpaceDE/>
        <w:autoSpaceDN/>
        <w:bidi w:val="0"/>
        <w:adjustRightInd/>
        <w:snapToGrid/>
        <w:spacing w:before="0" w:beforeLines="0"/>
        <w:ind w:left="0" w:firstLine="0" w:firstLineChars="0"/>
        <w:textAlignment w:val="auto"/>
        <w:rPr>
          <w:rFonts w:hint="eastAsia" w:ascii="宋体" w:hAnsi="宋体" w:eastAsia="宋体" w:cs="Times New Roman"/>
          <w:b/>
          <w:bCs/>
          <w:kern w:val="2"/>
          <w:sz w:val="24"/>
          <w:szCs w:val="24"/>
          <w:lang w:val="en-US" w:eastAsia="zh-CN" w:bidi="ar-SA"/>
        </w:rPr>
      </w:pPr>
      <w:bookmarkStart w:id="23" w:name="_Toc3923"/>
      <w:r>
        <w:rPr>
          <w:rFonts w:hint="eastAsia" w:ascii="宋体" w:hAnsi="宋体" w:eastAsia="宋体" w:cs="Times New Roman"/>
          <w:b/>
          <w:bCs/>
          <w:kern w:val="2"/>
          <w:sz w:val="24"/>
          <w:szCs w:val="24"/>
          <w:lang w:val="en-US" w:eastAsia="zh-CN" w:bidi="ar-SA"/>
        </w:rPr>
        <w:t>水资源及开发利用状况</w:t>
      </w:r>
      <w:bookmarkEnd w:id="23"/>
    </w:p>
    <w:p>
      <w:pPr>
        <w:keepNext/>
        <w:keepLines/>
        <w:widowControl w:val="0"/>
        <w:numPr>
          <w:ilvl w:val="2"/>
          <w:numId w:val="1"/>
        </w:numPr>
        <w:spacing w:line="360" w:lineRule="auto"/>
        <w:jc w:val="both"/>
        <w:outlineLvl w:val="2"/>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水资源</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全县水资源总量6.57亿</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／年。其中地表水5.83亿</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／年，地下水0.74亿</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／年。</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lang w:eastAsia="zh-CN"/>
        </w:rPr>
        <w:t>一、</w:t>
      </w:r>
      <w:r>
        <w:rPr>
          <w:rFonts w:hint="eastAsia" w:ascii="宋体" w:hAnsi="宋体" w:eastAsia="宋体" w:cs="Times New Roman"/>
          <w:sz w:val="24"/>
          <w:szCs w:val="24"/>
        </w:rPr>
        <w:t>全县主要的河流</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德安县属鄱阳湖水系，县域干流博阳河发源于瑞昌市南义乡湖炎洞，自西北向东南贯穿全境，全长93公里，境内79.7公里，流域面积863.0平方公里，大小支流34条，其中流域面积30平方公里以上的有洞霄水、田家河、车桥水、金带河、下头水、庙前港、涂山水等7条支流，水面346.7公顷。</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lang w:eastAsia="zh-CN"/>
        </w:rPr>
        <w:t>二</w:t>
      </w:r>
      <w:r>
        <w:rPr>
          <w:rFonts w:hint="eastAsia" w:ascii="宋体" w:hAnsi="宋体" w:eastAsia="宋体" w:cs="Times New Roman"/>
          <w:sz w:val="24"/>
          <w:szCs w:val="24"/>
        </w:rPr>
        <w:t>、全县的地下水资源</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据省地质局水文地质大队编《江西省德安县区域水文地质普查报告》，全县地下水储量中等，分三个区、六个亚区和十—个块段计算地下水储量。</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松散岩类孔隙水：采用断面流量法计算，先根据抽水试验数据求出控制块段枯季地下水径流量q=IBKH。式中I—水力坡度，2.3～2.5%。K—渗透系数l3.89～l8.9米／日，B—断面总长度。然后按比拟法求得整个计算区内径流量Q=q·F/f，式中f—比拟块段面积，F—欲求块段面积。计算成果：孔隙承压水(I1)区，枯水季地下径流量1.8602万吨／日，孔隙潜水(I2)区为5.3062万吨／日，合计7.1724万</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／日，即2618万</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／年。</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基岩裂隙水、岩溶水：采用地下径流模数法计算Q=86.4MF，式中M—枯季地下水径流模数，根据实测资料分析计算求得，为O.85～4.99升／秒·平方公里，F—块段面积。计算成果：基岩裂隙水(Ⅱ)区地下径流量为8.0934万吨／日，碳酸盐岩类裂隙溶洞水(Ⅱ)区为5.126万吨／日，合计13.22万</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／日，即4825万</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／年。总计7443万</w:t>
      </w:r>
      <w:r>
        <w:rPr>
          <w:rFonts w:hint="eastAsia" w:ascii="宋体" w:hAnsi="宋体" w:eastAsia="宋体" w:cs="Times New Roman"/>
          <w:sz w:val="24"/>
          <w:szCs w:val="24"/>
          <w:lang w:eastAsia="zh-CN"/>
        </w:rPr>
        <w:t>立方米</w:t>
      </w:r>
      <w:r>
        <w:rPr>
          <w:rFonts w:hint="eastAsia" w:ascii="宋体" w:hAnsi="宋体" w:eastAsia="宋体" w:cs="Times New Roman"/>
          <w:sz w:val="24"/>
          <w:szCs w:val="24"/>
        </w:rPr>
        <w:t>／年。</w:t>
      </w:r>
    </w:p>
    <w:p>
      <w:pPr>
        <w:ind w:right="29" w:firstLine="480" w:firstLineChars="200"/>
        <w:rPr>
          <w:rFonts w:hint="eastAsia" w:ascii="宋体" w:hAnsi="宋体" w:eastAsia="宋体" w:cs="Times New Roman"/>
          <w:sz w:val="24"/>
          <w:szCs w:val="24"/>
          <w:lang w:val="zh-CN"/>
        </w:rPr>
      </w:pPr>
      <w:r>
        <w:rPr>
          <w:rFonts w:hint="eastAsia" w:ascii="宋体" w:hAnsi="宋体" w:eastAsia="宋体" w:cs="Times New Roman"/>
          <w:sz w:val="24"/>
          <w:szCs w:val="24"/>
        </w:rPr>
        <w:t>县境内设有梓坊水文站。</w:t>
      </w:r>
      <w:r>
        <w:rPr>
          <w:rFonts w:hint="eastAsia" w:ascii="宋体" w:hAnsi="宋体" w:eastAsia="宋体" w:cs="Times New Roman"/>
          <w:sz w:val="24"/>
          <w:szCs w:val="24"/>
          <w:lang w:eastAsia="zh-CN"/>
        </w:rPr>
        <w:t>坐落</w:t>
      </w:r>
      <w:r>
        <w:rPr>
          <w:rFonts w:hint="eastAsia" w:ascii="宋体" w:hAnsi="宋体" w:eastAsia="宋体" w:cs="Times New Roman"/>
          <w:sz w:val="24"/>
          <w:szCs w:val="24"/>
        </w:rPr>
        <w:t>在博阳河中游，控制面积626km2，有23年的观测资料。多年平均流量11.8m3/s，最大流量960 m3/s (1975年8月</w:t>
      </w:r>
      <w:r>
        <w:rPr>
          <w:rFonts w:hint="eastAsia" w:ascii="宋体" w:hAnsi="宋体" w:eastAsia="宋体" w:cs="Times New Roman"/>
          <w:sz w:val="24"/>
          <w:szCs w:val="24"/>
          <w:lang w:val="en-US" w:eastAsia="zh-CN"/>
        </w:rPr>
        <w:t>15</w:t>
      </w:r>
      <w:r>
        <w:rPr>
          <w:rFonts w:hint="eastAsia" w:ascii="宋体" w:hAnsi="宋体" w:eastAsia="宋体" w:cs="Times New Roman"/>
          <w:sz w:val="24"/>
          <w:szCs w:val="24"/>
        </w:rPr>
        <w:t>日)，最小流量0.0O3 m3/s (1957年9月15日)，多年平均径流深616毫米。由于同一流域内，降雨和下垫面等因素都接近，故本县四个分区都采用梓坊站资料计算，得全县多年平均径流总量58336万m3，人均4148m3，亩均3270m3。中水年(P=50%)径流总量54.765万m3，偏枯年(P=75%)径流总量为39632万m3，枯水年(P=90%)径流总量为24508万m3。从各分区来看，低丘和中丘两区比较丰富，滨湖区丰富的鄱阳湖过境水，据估算，平水年从鄱阳湖提水总量为540万m3，枯水年可达843万m3，因此除低山区比较缺水外，全县地表水资源是充足有余的。</w:t>
      </w:r>
    </w:p>
    <w:p>
      <w:pPr>
        <w:keepNext/>
        <w:keepLines/>
        <w:widowControl w:val="0"/>
        <w:numPr>
          <w:ilvl w:val="2"/>
          <w:numId w:val="1"/>
        </w:numPr>
        <w:spacing w:line="360" w:lineRule="auto"/>
        <w:jc w:val="both"/>
        <w:outlineLvl w:val="2"/>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水资源的利用</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到2006年为止，德安县已建成各类蓄水工程1990座，其中中型水库2座（湖塘水库及林泉水库），小（一）型水库6座（红桥水库、蔡山垅水库、</w:t>
      </w:r>
      <w:r>
        <w:rPr>
          <w:rFonts w:hint="eastAsia" w:ascii="宋体" w:hAnsi="宋体" w:eastAsia="宋体" w:cs="Times New Roman"/>
          <w:sz w:val="24"/>
          <w:szCs w:val="24"/>
          <w:lang w:eastAsia="zh-CN"/>
        </w:rPr>
        <w:t>木环水库</w:t>
      </w:r>
      <w:r>
        <w:rPr>
          <w:rFonts w:hint="eastAsia" w:ascii="宋体" w:hAnsi="宋体" w:eastAsia="宋体" w:cs="Times New Roman"/>
          <w:sz w:val="24"/>
          <w:szCs w:val="24"/>
        </w:rPr>
        <w:t>、新田水库、城门水库及上易水库），小（二）型水库69座，塘坝1913座,总有效库容为9840万m3；有大小引水工程215座；大小圩堤共14座，总长约32km,其中万亩圩1座，即保护县城的附城联圩，千亩圩2座，百亩圩11座。大小机电排灌站277座。</w:t>
      </w:r>
    </w:p>
    <w:p>
      <w:pPr>
        <w:spacing w:line="360" w:lineRule="auto"/>
        <w:ind w:right="29" w:firstLine="480" w:firstLineChars="200"/>
        <w:rPr>
          <w:rFonts w:hint="eastAsia" w:ascii="宋体" w:hAnsi="宋体"/>
          <w:sz w:val="24"/>
        </w:rPr>
      </w:pPr>
      <w:r>
        <w:rPr>
          <w:rFonts w:hint="eastAsia" w:ascii="宋体" w:hAnsi="宋体"/>
          <w:sz w:val="24"/>
        </w:rPr>
        <w:t>湖塘水库为一中型水库，塘水库正常蓄水位72.68米，死水位58.68米，总库容4700万立方米，有效库容3760万立方米，集雨面积144.00Km2，年来水量P=95%为6770.0万m3，水源可供水量为5640.0万m3，湖塘水库水质较好，且没有灌溉任务。</w:t>
      </w:r>
    </w:p>
    <w:p>
      <w:pPr>
        <w:spacing w:line="360" w:lineRule="auto"/>
        <w:ind w:right="29" w:firstLine="480" w:firstLineChars="200"/>
        <w:rPr>
          <w:rFonts w:hint="eastAsia" w:ascii="宋体" w:hAnsi="宋体"/>
          <w:sz w:val="24"/>
        </w:rPr>
      </w:pPr>
      <w:r>
        <w:rPr>
          <w:rFonts w:hint="eastAsia" w:ascii="宋体" w:hAnsi="宋体"/>
          <w:sz w:val="24"/>
        </w:rPr>
        <w:t>林泉水库为另一中型水库，正常蓄水位65.8米，死水位50.5米，总库容1502万立方米，有效库容995.72万立方米，集雨面积20.8Km2，年来水量P=95%为998.0万m3，水源可供水量为998万m3，设计灌溉面积2万亩（按600万m3计），实际可供水量为398.00万m3。</w:t>
      </w:r>
    </w:p>
    <w:p>
      <w:pPr>
        <w:spacing w:line="360" w:lineRule="auto"/>
        <w:ind w:right="29" w:firstLine="480" w:firstLineChars="200"/>
        <w:rPr>
          <w:rFonts w:hint="eastAsia" w:ascii="宋体" w:hAnsi="宋体"/>
          <w:sz w:val="24"/>
        </w:rPr>
      </w:pPr>
      <w:r>
        <w:rPr>
          <w:rFonts w:hint="eastAsia" w:ascii="宋体" w:hAnsi="宋体"/>
          <w:sz w:val="24"/>
        </w:rPr>
        <w:t>红桥水库为小一型水库，正常蓄水位109.0米，死水位92.55米，总库容510万立方米，有效库容336.8万立方米，集雨面积11.75Km2，年来水量P=95%为552.0万m3，水源可供水量为470.53万m3，设计灌溉面积1.0万亩（按300万m3计），实际可供水量为170.53万m3。</w:t>
      </w:r>
    </w:p>
    <w:p>
      <w:pPr>
        <w:spacing w:line="360" w:lineRule="auto"/>
        <w:ind w:right="29" w:firstLine="480" w:firstLineChars="200"/>
        <w:rPr>
          <w:rFonts w:hint="eastAsia" w:ascii="宋体" w:hAnsi="宋体"/>
          <w:sz w:val="24"/>
        </w:rPr>
      </w:pPr>
      <w:r>
        <w:rPr>
          <w:rFonts w:hint="eastAsia" w:ascii="宋体" w:hAnsi="宋体"/>
          <w:sz w:val="24"/>
        </w:rPr>
        <w:t>蔡山垅水库为小一型水库，正常蓄水位129.5米，死水位119米，总库容131万立方米，有效库容90万立方米，集雨面积5.5Km2，年来水量P=95%为259.0万m3，水源可供水量为171.00万m3，设计灌溉面积0.4万亩（按120万m3计），实际可供水量为51.00万m3。</w:t>
      </w:r>
    </w:p>
    <w:p>
      <w:pPr>
        <w:spacing w:line="360" w:lineRule="auto"/>
        <w:ind w:right="29" w:firstLine="480" w:firstLineChars="200"/>
        <w:rPr>
          <w:rFonts w:hint="eastAsia" w:ascii="宋体" w:hAnsi="宋体"/>
          <w:sz w:val="24"/>
        </w:rPr>
      </w:pPr>
      <w:r>
        <w:rPr>
          <w:rFonts w:hint="eastAsia" w:ascii="宋体" w:hAnsi="宋体"/>
          <w:sz w:val="24"/>
        </w:rPr>
        <w:t>上易水库为小一型水库，正常蓄水位110.38米，死水位99.39米，总库容205.3万立方米，有效库容154.97万立方米，集雨面积2.47Km2，年来水量P=95%为116.0万m3，水源可供水量为116.00万m3，设计灌溉面积0.2万亩（按60万m3计），实际可供水量为56.00万m3。</w:t>
      </w:r>
    </w:p>
    <w:p>
      <w:pPr>
        <w:spacing w:line="360" w:lineRule="auto"/>
        <w:ind w:right="29" w:firstLine="480" w:firstLineChars="200"/>
        <w:rPr>
          <w:rFonts w:hint="eastAsia" w:ascii="宋体" w:hAnsi="宋体"/>
          <w:sz w:val="24"/>
        </w:rPr>
      </w:pPr>
      <w:r>
        <w:rPr>
          <w:rFonts w:hint="eastAsia" w:ascii="宋体" w:hAnsi="宋体"/>
          <w:sz w:val="24"/>
        </w:rPr>
        <w:t>新田水库为小一型水库，正常蓄水位85.12米，死水位65.67米，总库容976万立方米，有效库容769万立方米，集雨面积9Km2，年来水量P=95%为423.0万m3，水源可供水量为423.0万m3，设计灌溉面积1.0万亩（按300万m3计），实际可供水量为123.0万m3。</w:t>
      </w:r>
    </w:p>
    <w:p>
      <w:pPr>
        <w:spacing w:line="360" w:lineRule="auto"/>
        <w:ind w:right="29" w:firstLine="480" w:firstLineChars="200"/>
        <w:rPr>
          <w:rFonts w:hint="eastAsia" w:ascii="宋体" w:hAnsi="宋体" w:eastAsia="宋体" w:cs="Times New Roman"/>
          <w:sz w:val="24"/>
        </w:rPr>
      </w:pPr>
      <w:r>
        <w:rPr>
          <w:rFonts w:hint="eastAsia" w:ascii="宋体" w:hAnsi="宋体" w:eastAsia="宋体" w:cs="Times New Roman"/>
          <w:sz w:val="24"/>
        </w:rPr>
        <w:t>城门水库位于车桥镇内，东门水库为与宝塔乡内，这两个区域已有供水水源，本次规划不把它们作为水源地。</w:t>
      </w:r>
    </w:p>
    <w:p>
      <w:pPr>
        <w:spacing w:line="360" w:lineRule="auto"/>
        <w:ind w:right="29" w:firstLine="480" w:firstLineChars="200"/>
        <w:rPr>
          <w:rFonts w:hint="eastAsia" w:ascii="宋体" w:hAnsi="宋体" w:eastAsia="宋体" w:cs="Times New Roman"/>
          <w:sz w:val="24"/>
        </w:rPr>
      </w:pPr>
      <w:r>
        <w:rPr>
          <w:rFonts w:hint="eastAsia" w:ascii="宋体" w:hAnsi="宋体" w:eastAsia="宋体" w:cs="Times New Roman"/>
          <w:sz w:val="24"/>
        </w:rPr>
        <w:t>木环水库位于德安县宝塔乡东山村，</w:t>
      </w:r>
      <w:r>
        <w:rPr>
          <w:rFonts w:hint="eastAsia" w:ascii="宋体" w:hAnsi="宋体" w:eastAsia="宋体" w:cs="Times New Roman"/>
          <w:sz w:val="24"/>
          <w:lang w:eastAsia="zh-CN"/>
        </w:rPr>
        <w:t>坐落</w:t>
      </w:r>
      <w:r>
        <w:rPr>
          <w:rFonts w:hint="eastAsia" w:ascii="宋体" w:hAnsi="宋体" w:eastAsia="宋体" w:cs="Times New Roman"/>
          <w:sz w:val="24"/>
        </w:rPr>
        <w:t>在鄱阳湖水系博阳河支流金带河上，距德安县城约10km控制流域面积15.2km2，是一座以供水为主，兼顾防洪及生态景观等综合效益的中型水利工程。设计供水规模为3万m3/d，水库正常蓄水位为79m，总库容1640万m3，最大坝高32m。坝型为碾压混凝土重力坝，设计洪水标准100年一遇，校核洪水库标准1000年一遇。</w:t>
      </w:r>
    </w:p>
    <w:p>
      <w:pPr>
        <w:ind w:right="29" w:firstLine="480" w:firstLineChars="200"/>
        <w:rPr>
          <w:rFonts w:hint="eastAsia" w:ascii="宋体" w:hAnsi="宋体" w:eastAsia="宋体" w:cs="Times New Roman"/>
          <w:sz w:val="24"/>
          <w:szCs w:val="24"/>
        </w:rPr>
      </w:pPr>
      <w:r>
        <w:rPr>
          <w:rFonts w:hint="eastAsia" w:ascii="宋体" w:hAnsi="宋体" w:eastAsia="宋体" w:cs="Times New Roman"/>
          <w:sz w:val="24"/>
          <w:szCs w:val="24"/>
        </w:rPr>
        <w:t>201</w:t>
      </w:r>
      <w:r>
        <w:rPr>
          <w:rFonts w:hint="eastAsia" w:ascii="宋体" w:hAnsi="宋体" w:eastAsia="宋体" w:cs="Times New Roman"/>
          <w:sz w:val="24"/>
          <w:szCs w:val="24"/>
          <w:lang w:val="en-US" w:eastAsia="zh-CN"/>
        </w:rPr>
        <w:t>9</w:t>
      </w:r>
      <w:r>
        <w:rPr>
          <w:rFonts w:hint="eastAsia" w:ascii="宋体" w:hAnsi="宋体" w:eastAsia="宋体" w:cs="Times New Roman"/>
          <w:sz w:val="24"/>
          <w:szCs w:val="24"/>
        </w:rPr>
        <w:t>年，</w:t>
      </w:r>
      <w:r>
        <w:rPr>
          <w:rFonts w:hint="eastAsia" w:ascii="宋体" w:hAnsi="宋体" w:eastAsia="宋体" w:cs="Times New Roman"/>
          <w:sz w:val="24"/>
          <w:szCs w:val="24"/>
          <w:lang w:eastAsia="zh-CN"/>
        </w:rPr>
        <w:t>德安县</w:t>
      </w:r>
      <w:r>
        <w:rPr>
          <w:rFonts w:hint="eastAsia" w:ascii="宋体" w:hAnsi="宋体" w:eastAsia="宋体" w:cs="Times New Roman"/>
          <w:sz w:val="24"/>
          <w:szCs w:val="24"/>
        </w:rPr>
        <w:t>总用水量为</w:t>
      </w:r>
      <w:r>
        <w:rPr>
          <w:rFonts w:hint="eastAsia" w:ascii="宋体" w:hAnsi="宋体" w:eastAsia="宋体" w:cs="Times New Roman"/>
          <w:sz w:val="24"/>
          <w:szCs w:val="24"/>
          <w:lang w:val="en-US" w:eastAsia="zh-CN"/>
        </w:rPr>
        <w:t>1.12</w:t>
      </w:r>
      <w:r>
        <w:rPr>
          <w:rFonts w:hint="eastAsia" w:ascii="宋体" w:hAnsi="宋体" w:eastAsia="宋体" w:cs="Times New Roman"/>
          <w:sz w:val="24"/>
          <w:szCs w:val="24"/>
        </w:rPr>
        <w:t>亿m³，其中农业用水量为</w:t>
      </w:r>
      <w:r>
        <w:rPr>
          <w:rFonts w:hint="eastAsia" w:ascii="宋体" w:hAnsi="宋体" w:eastAsia="宋体" w:cs="Times New Roman"/>
          <w:sz w:val="24"/>
          <w:szCs w:val="24"/>
          <w:lang w:val="en-US" w:eastAsia="zh-CN"/>
        </w:rPr>
        <w:t>0.64</w:t>
      </w:r>
      <w:r>
        <w:rPr>
          <w:rFonts w:hint="eastAsia" w:ascii="宋体" w:hAnsi="宋体" w:eastAsia="宋体" w:cs="Times New Roman"/>
          <w:sz w:val="24"/>
          <w:szCs w:val="24"/>
        </w:rPr>
        <w:t>亿m³，工业用水量为0.</w:t>
      </w:r>
      <w:r>
        <w:rPr>
          <w:rFonts w:hint="eastAsia" w:ascii="宋体" w:hAnsi="宋体" w:eastAsia="宋体" w:cs="Times New Roman"/>
          <w:sz w:val="24"/>
          <w:szCs w:val="24"/>
          <w:lang w:val="en-US" w:eastAsia="zh-CN"/>
        </w:rPr>
        <w:t>36</w:t>
      </w:r>
      <w:r>
        <w:rPr>
          <w:rFonts w:hint="eastAsia" w:ascii="宋体" w:hAnsi="宋体" w:eastAsia="宋体" w:cs="Times New Roman"/>
          <w:sz w:val="24"/>
          <w:szCs w:val="24"/>
        </w:rPr>
        <w:t>亿m³，生活用水0.</w:t>
      </w:r>
      <w:r>
        <w:rPr>
          <w:rFonts w:hint="eastAsia" w:ascii="宋体" w:hAnsi="宋体" w:eastAsia="宋体" w:cs="Times New Roman"/>
          <w:sz w:val="24"/>
          <w:szCs w:val="24"/>
          <w:lang w:val="en-US" w:eastAsia="zh-CN"/>
        </w:rPr>
        <w:t>09</w:t>
      </w:r>
      <w:r>
        <w:rPr>
          <w:rFonts w:hint="eastAsia" w:ascii="宋体" w:hAnsi="宋体" w:eastAsia="宋体" w:cs="Times New Roman"/>
          <w:sz w:val="24"/>
          <w:szCs w:val="24"/>
        </w:rPr>
        <w:t>亿m³，环境用水量0.0</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亿m³。实际供水量</w:t>
      </w:r>
      <w:r>
        <w:rPr>
          <w:rFonts w:hint="eastAsia" w:ascii="宋体" w:hAnsi="宋体" w:eastAsia="宋体" w:cs="Times New Roman"/>
          <w:sz w:val="24"/>
          <w:szCs w:val="24"/>
          <w:lang w:val="en-US" w:eastAsia="zh-CN"/>
        </w:rPr>
        <w:t>1.12</w:t>
      </w:r>
      <w:r>
        <w:rPr>
          <w:rFonts w:hint="eastAsia" w:ascii="宋体" w:hAnsi="宋体" w:eastAsia="宋体" w:cs="Times New Roman"/>
          <w:sz w:val="24"/>
          <w:szCs w:val="24"/>
        </w:rPr>
        <w:t>亿m³，其中</w:t>
      </w:r>
      <w:r>
        <w:rPr>
          <w:rFonts w:hint="eastAsia" w:ascii="宋体" w:hAnsi="宋体" w:eastAsia="宋体" w:cs="Times New Roman"/>
          <w:sz w:val="24"/>
          <w:szCs w:val="24"/>
          <w:lang w:eastAsia="zh-CN"/>
        </w:rPr>
        <w:t>地表水</w:t>
      </w:r>
      <w:r>
        <w:rPr>
          <w:rFonts w:hint="eastAsia" w:ascii="宋体" w:hAnsi="宋体" w:eastAsia="宋体" w:cs="Times New Roman"/>
          <w:sz w:val="24"/>
          <w:szCs w:val="24"/>
        </w:rPr>
        <w:t>供水量</w:t>
      </w:r>
      <w:r>
        <w:rPr>
          <w:rFonts w:hint="eastAsia" w:ascii="宋体" w:hAnsi="宋体" w:eastAsia="宋体" w:cs="Times New Roman"/>
          <w:sz w:val="24"/>
          <w:szCs w:val="24"/>
          <w:lang w:val="en-US" w:eastAsia="zh-CN"/>
        </w:rPr>
        <w:t>1.08</w:t>
      </w:r>
      <w:r>
        <w:rPr>
          <w:rFonts w:hint="eastAsia" w:ascii="宋体" w:hAnsi="宋体" w:eastAsia="宋体" w:cs="Times New Roman"/>
          <w:sz w:val="24"/>
          <w:szCs w:val="24"/>
        </w:rPr>
        <w:t>亿m³，地下水供水0.</w:t>
      </w:r>
      <w:r>
        <w:rPr>
          <w:rFonts w:hint="eastAsia" w:ascii="宋体" w:hAnsi="宋体" w:eastAsia="宋体" w:cs="Times New Roman"/>
          <w:sz w:val="24"/>
          <w:szCs w:val="24"/>
          <w:lang w:val="en-US" w:eastAsia="zh-CN"/>
        </w:rPr>
        <w:t>01</w:t>
      </w:r>
      <w:r>
        <w:rPr>
          <w:rFonts w:hint="eastAsia" w:ascii="宋体" w:hAnsi="宋体" w:eastAsia="宋体" w:cs="Times New Roman"/>
          <w:sz w:val="24"/>
          <w:szCs w:val="24"/>
        </w:rPr>
        <w:t>亿m³。</w:t>
      </w:r>
    </w:p>
    <w:p>
      <w:pPr>
        <w:pStyle w:val="4"/>
        <w:keepNext/>
        <w:keepLines/>
        <w:pageBreakBefore w:val="0"/>
        <w:widowControl w:val="0"/>
        <w:kinsoku/>
        <w:wordWrap/>
        <w:overflowPunct/>
        <w:topLinePunct w:val="0"/>
        <w:autoSpaceDE/>
        <w:autoSpaceDN/>
        <w:bidi w:val="0"/>
        <w:adjustRightInd w:val="0"/>
        <w:snapToGrid w:val="0"/>
        <w:spacing w:before="0" w:after="0" w:line="360" w:lineRule="auto"/>
        <w:ind w:left="0" w:firstLine="0" w:firstLineChars="0"/>
        <w:jc w:val="center"/>
        <w:textAlignment w:val="auto"/>
        <w:rPr>
          <w:rFonts w:hint="eastAsia"/>
          <w:b/>
          <w:bCs/>
          <w:lang w:val="en-US" w:eastAsia="zh-CN"/>
        </w:rPr>
      </w:pPr>
      <w:bookmarkStart w:id="24" w:name="_Toc31823"/>
      <w:r>
        <w:rPr>
          <w:rFonts w:hint="eastAsia" w:ascii="Times New Roman" w:hAnsi="Times New Roman" w:cs="Times New Roman"/>
          <w:b/>
          <w:bCs/>
          <w:kern w:val="0"/>
          <w:sz w:val="30"/>
          <w:szCs w:val="30"/>
          <w:highlight w:val="none"/>
          <w:lang w:val="en-US" w:eastAsia="zh-CN"/>
        </w:rPr>
        <w:t>城乡供水现状</w:t>
      </w:r>
      <w:bookmarkEnd w:id="24"/>
    </w:p>
    <w:p>
      <w:pPr>
        <w:ind w:right="29"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经过“十二五”农村自来水、“十三五”巩固提升工程的建设，目前德安县已经形成了“一大七小”八个自来水厂的格局，打破了原有的乡镇界线，尽可能利用了现有的优质水源，对全县的县城以及农村地区进行同质供水，基本实现了城乡供水一体化。</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562" w:firstLineChars="200"/>
        <w:textAlignment w:val="auto"/>
        <w:rPr>
          <w:rFonts w:hint="eastAsia" w:ascii="Times New Roman" w:hAnsi="Times New Roman" w:eastAsia="宋体" w:cs="Times New Roman"/>
          <w:sz w:val="28"/>
          <w:szCs w:val="28"/>
          <w:highlight w:val="none"/>
          <w:lang w:val="en-US" w:eastAsia="zh-CN"/>
        </w:rPr>
      </w:pPr>
      <w:bookmarkStart w:id="25" w:name="_Toc15154"/>
      <w:r>
        <w:rPr>
          <w:rFonts w:hint="eastAsia" w:ascii="Times New Roman" w:hAnsi="Times New Roman" w:eastAsia="宋体" w:cs="Times New Roman"/>
          <w:sz w:val="28"/>
          <w:szCs w:val="28"/>
          <w:highlight w:val="none"/>
          <w:lang w:val="en-US" w:eastAsia="zh-CN"/>
        </w:rPr>
        <w:t>城乡供水发展情况</w:t>
      </w:r>
      <w:bookmarkEnd w:id="25"/>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textAlignment w:val="auto"/>
        <w:rPr>
          <w:rFonts w:hint="default"/>
          <w:sz w:val="24"/>
          <w:szCs w:val="24"/>
          <w:lang w:val="en-US" w:eastAsia="zh-CN"/>
        </w:rPr>
      </w:pPr>
      <w:r>
        <w:rPr>
          <w:rFonts w:hint="eastAsia"/>
          <w:sz w:val="24"/>
          <w:szCs w:val="24"/>
          <w:lang w:val="en-US" w:eastAsia="zh-CN"/>
        </w:rPr>
        <w:t>德安县城市供水发展历程</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德安县城市供水发展，共经历了三个阶段，初期供水阶段，水厂扩建阶段，自动化管理、多水源保障阶段。</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1、初期供水阶段（1995年-2005年）：</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雁家</w:t>
      </w:r>
      <w:r>
        <w:rPr>
          <w:rFonts w:hint="eastAsia" w:ascii="宋体" w:hAnsi="宋体" w:eastAsia="宋体" w:cs="宋体"/>
          <w:kern w:val="0"/>
          <w:sz w:val="24"/>
          <w:szCs w:val="24"/>
          <w:lang w:val="en-US" w:eastAsia="zh-CN"/>
        </w:rPr>
        <w:t>湖水</w:t>
      </w:r>
      <w:r>
        <w:rPr>
          <w:rFonts w:hint="eastAsia" w:ascii="宋体" w:hAnsi="宋体" w:eastAsia="宋体" w:cs="宋体"/>
          <w:kern w:val="0"/>
          <w:sz w:val="24"/>
          <w:szCs w:val="24"/>
          <w:lang w:eastAsia="zh-CN"/>
        </w:rPr>
        <w:t>厂于 1995年建成供水，首期设计供水规模为1万m3/d，该系统位于厂区西南角，净水构筑物为二组水力循环澄清池－无阀滤池，每组设计制水能力5000m3/d。</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2、水厂扩建阶段（2005年-2015年）</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2005年</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雁家湖水厂进行了扩建，新增2万m3/d 的供水能力，</w:t>
      </w:r>
      <w:r>
        <w:rPr>
          <w:rFonts w:hint="eastAsia" w:ascii="宋体" w:hAnsi="宋体" w:eastAsia="宋体" w:cs="宋体"/>
          <w:kern w:val="0"/>
          <w:sz w:val="24"/>
          <w:szCs w:val="24"/>
          <w:lang w:val="en-US" w:eastAsia="zh-CN"/>
        </w:rPr>
        <w:t>处理工艺为：</w:t>
      </w:r>
      <w:r>
        <w:rPr>
          <w:rFonts w:hint="eastAsia" w:ascii="宋体" w:hAnsi="宋体" w:eastAsia="宋体" w:cs="宋体"/>
          <w:kern w:val="0"/>
          <w:sz w:val="24"/>
          <w:szCs w:val="24"/>
          <w:lang w:eastAsia="zh-CN"/>
        </w:rPr>
        <w:t>采用管道静态混合器混合</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网格絮凝平流沉淀池</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普通快滤池</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清水池</w:t>
      </w:r>
      <w:r>
        <w:rPr>
          <w:rFonts w:hint="eastAsia" w:ascii="宋体" w:hAnsi="宋体" w:eastAsia="宋体" w:cs="宋体"/>
          <w:kern w:val="0"/>
          <w:sz w:val="24"/>
          <w:szCs w:val="24"/>
          <w:lang w:val="en-US" w:eastAsia="zh-CN"/>
        </w:rPr>
        <w:t>--消毒--送水泵房--用户。</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2013年，进行了扩建工程，新增2万m3/d 的供水能力，</w:t>
      </w:r>
      <w:r>
        <w:rPr>
          <w:rFonts w:hint="eastAsia" w:ascii="宋体" w:hAnsi="宋体" w:eastAsia="宋体" w:cs="宋体"/>
          <w:kern w:val="0"/>
          <w:sz w:val="24"/>
          <w:szCs w:val="24"/>
          <w:lang w:val="en-US" w:eastAsia="zh-CN"/>
        </w:rPr>
        <w:t>采取的工艺为：</w:t>
      </w:r>
      <w:r>
        <w:rPr>
          <w:rFonts w:hint="eastAsia" w:ascii="宋体" w:hAnsi="宋体" w:eastAsia="宋体" w:cs="宋体"/>
          <w:kern w:val="0"/>
          <w:sz w:val="24"/>
          <w:szCs w:val="24"/>
          <w:lang w:eastAsia="zh-CN"/>
        </w:rPr>
        <w:t>新建絮凝沉淀池一座；</w:t>
      </w:r>
      <w:r>
        <w:rPr>
          <w:rFonts w:hint="eastAsia" w:ascii="宋体" w:hAnsi="宋体" w:eastAsia="宋体" w:cs="宋体"/>
          <w:kern w:val="0"/>
          <w:sz w:val="24"/>
          <w:szCs w:val="24"/>
          <w:lang w:val="en-US" w:eastAsia="zh-CN"/>
        </w:rPr>
        <w:t>新建</w:t>
      </w:r>
      <w:r>
        <w:rPr>
          <w:rFonts w:hint="eastAsia" w:ascii="宋体" w:hAnsi="宋体" w:eastAsia="宋体" w:cs="宋体"/>
          <w:kern w:val="0"/>
          <w:sz w:val="24"/>
          <w:szCs w:val="24"/>
          <w:lang w:eastAsia="zh-CN"/>
        </w:rPr>
        <w:t>V 型滤池一座，平面尺寸 27.10m×18.24m；新建清水池一座，平面尺寸 33.8m×30.1m，有效水深 3.5m；将现有二级泵房与变配电间合建，泵房内设6台水泵，1#、2#、3#、4#水泵为供水泵，接2根DN600 出厂总管为居民区供水。5#和6#水泵为现状普通快滤池的反冲洗泵；新建加氯加药间一座，加氯间与加药间合建，加药部分平面尺寸16m×6.6m，加氯部分平面尺寸12m×9.6m；新建排泥池一座，平面尺寸30m×10m，有效容积810m3。</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经过两两次扩建，</w:t>
      </w:r>
      <w:r>
        <w:rPr>
          <w:rFonts w:hint="eastAsia" w:ascii="宋体" w:hAnsi="宋体" w:eastAsia="宋体" w:cs="宋体"/>
          <w:kern w:val="0"/>
          <w:sz w:val="24"/>
          <w:szCs w:val="24"/>
          <w:lang w:eastAsia="zh-CN"/>
        </w:rPr>
        <w:t>雁家湖水厂总的处理能力为5万m³/d。</w:t>
      </w:r>
    </w:p>
    <w:p>
      <w:pPr>
        <w:numPr>
          <w:ilvl w:val="0"/>
          <w:numId w:val="3"/>
        </w:num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自动化管理、多水源保障阶段（2015年--至今）</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2018年9月，完成了对现有原有工艺进行了提升改造，实现了雁家湖水厂的自动化控制。</w:t>
      </w:r>
    </w:p>
    <w:p>
      <w:pPr>
        <w:autoSpaceDE w:val="0"/>
        <w:autoSpaceDN w:val="0"/>
        <w:adjustRightInd/>
        <w:snapToGrid/>
        <w:spacing w:line="360" w:lineRule="auto"/>
        <w:ind w:firstLine="560"/>
        <w:rPr>
          <w:rFonts w:hint="eastAsia"/>
          <w:lang w:val="en-US" w:eastAsia="zh-CN"/>
        </w:rPr>
      </w:pPr>
      <w:r>
        <w:rPr>
          <w:rFonts w:hint="eastAsia" w:ascii="宋体" w:hAnsi="宋体" w:eastAsia="宋体" w:cs="宋体"/>
          <w:kern w:val="0"/>
          <w:sz w:val="24"/>
          <w:szCs w:val="24"/>
          <w:lang w:val="en-US" w:eastAsia="zh-CN"/>
        </w:rPr>
        <w:t>为提高水源保障率，2016年，实施了</w:t>
      </w:r>
      <w:r>
        <w:rPr>
          <w:rFonts w:hint="eastAsia" w:ascii="宋体" w:hAnsi="宋体" w:eastAsia="宋体" w:cs="宋体"/>
          <w:kern w:val="0"/>
          <w:sz w:val="24"/>
          <w:szCs w:val="24"/>
          <w:lang w:eastAsia="zh-CN"/>
        </w:rPr>
        <w:t>德安润泉供水原水工程，</w:t>
      </w:r>
      <w:r>
        <w:rPr>
          <w:rFonts w:hint="eastAsia" w:ascii="宋体" w:hAnsi="宋体" w:eastAsia="宋体" w:cs="宋体"/>
          <w:kern w:val="0"/>
          <w:sz w:val="24"/>
          <w:szCs w:val="24"/>
          <w:lang w:val="en-US" w:eastAsia="zh-CN"/>
        </w:rPr>
        <w:t>引水自博阳河，形成了双水源供水格局，一个水源为博阳河，另一处为瓦子塘水库。</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textAlignment w:val="auto"/>
        <w:rPr>
          <w:rFonts w:hint="default"/>
          <w:sz w:val="24"/>
          <w:szCs w:val="24"/>
          <w:lang w:val="en-US" w:eastAsia="zh-CN"/>
        </w:rPr>
      </w:pPr>
      <w:r>
        <w:rPr>
          <w:rFonts w:hint="eastAsia"/>
          <w:sz w:val="24"/>
          <w:szCs w:val="24"/>
          <w:lang w:val="en-US" w:eastAsia="zh-CN"/>
        </w:rPr>
        <w:t>德安县农村供水发展历程</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一五”期间为农村供水的探索阶段，工程投资较小，由水利局牵头，实施了一批小型农饮工程，以解决不安全饮水人口为主。但随着农饮工程的投入使用，小型农饮工程的弊端更加突出，水处理设备及消毒设施不健全，管网漏损严重，管理跟不上等问题逐渐暴露出来；对大规模、高水平管理的自来水工程越来越渴望。</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进入</w:t>
      </w: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五”</w:t>
      </w:r>
      <w:r>
        <w:rPr>
          <w:rFonts w:hint="eastAsia" w:ascii="宋体" w:hAnsi="宋体" w:eastAsia="宋体" w:cs="宋体"/>
          <w:kern w:val="0"/>
          <w:sz w:val="24"/>
          <w:szCs w:val="24"/>
          <w:lang w:val="en-US" w:eastAsia="zh-CN"/>
        </w:rPr>
        <w:t>以后</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德安县与江西省水利集团签订了农村供水协议，自此，德安县农村供水进去了企业化管理时代。</w:t>
      </w:r>
      <w:r>
        <w:rPr>
          <w:rFonts w:hint="eastAsia" w:ascii="宋体" w:hAnsi="宋体" w:eastAsia="宋体" w:cs="宋体"/>
          <w:kern w:val="0"/>
          <w:sz w:val="24"/>
          <w:szCs w:val="24"/>
          <w:lang w:eastAsia="zh-CN"/>
        </w:rPr>
        <w:t>分别实施了：</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吴山镇红桥</w:t>
      </w:r>
      <w:r>
        <w:rPr>
          <w:rFonts w:hint="eastAsia" w:ascii="宋体" w:hAnsi="宋体" w:eastAsia="宋体" w:cs="宋体"/>
          <w:kern w:val="0"/>
          <w:sz w:val="24"/>
          <w:szCs w:val="24"/>
          <w:lang w:eastAsia="zh-CN"/>
        </w:rPr>
        <w:t>自来水工程，以红桥水库为水源，进行了水厂改造及</w:t>
      </w:r>
      <w:r>
        <w:rPr>
          <w:rFonts w:hint="eastAsia" w:ascii="宋体" w:hAnsi="宋体" w:eastAsia="宋体" w:cs="宋体"/>
          <w:kern w:val="0"/>
          <w:sz w:val="24"/>
          <w:szCs w:val="24"/>
        </w:rPr>
        <w:t>自来水管网延伸工程</w:t>
      </w:r>
      <w:r>
        <w:rPr>
          <w:rFonts w:hint="eastAsia" w:ascii="宋体" w:hAnsi="宋体" w:eastAsia="宋体" w:cs="宋体"/>
          <w:kern w:val="0"/>
          <w:sz w:val="24"/>
          <w:szCs w:val="24"/>
          <w:lang w:eastAsia="zh-CN"/>
        </w:rPr>
        <w:t>，覆盖了吴山镇及部分聂桥镇；</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邹桥自来水工程，以湖塘水库为水源，进行了水厂改造及农村自来水管网延伸工程，在爱民乡设置加压站，覆盖了邹桥乡以及爱民乡；</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eastAsia="zh-CN"/>
        </w:rPr>
        <w:t>林泉水厂以林泉水库为水源，进行了水厂改造以及管网延伸工程，替代了原有的小水厂，覆盖了林泉镇、丰林镇、高塘乡、以及部分聂桥乡；</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塘山自来水工程，以狐狸洞暗河以及机井为水源，进行了水厂改造及管网延伸工程，覆盖了塘山乡；</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lang w:eastAsia="zh-CN"/>
        </w:rPr>
        <w:t>雁家湖水厂管网延伸工程，覆盖了河东乡以及宝塔乡；</w:t>
      </w:r>
      <w:r>
        <w:rPr>
          <w:rFonts w:hint="eastAsia" w:ascii="宋体" w:hAnsi="宋体" w:eastAsia="宋体" w:cs="宋体"/>
          <w:kern w:val="0"/>
          <w:sz w:val="24"/>
          <w:szCs w:val="24"/>
          <w:lang w:val="en-US" w:eastAsia="zh-CN"/>
        </w:rPr>
        <w:t>6）、车桥水厂改造及管网延伸工程，以上易水库为水源，覆盖了车桥乡；7）、磨溪水厂改造及管网延伸工程，以新田水库为水源，覆盖了磨溪乡；8）、彭山水厂，目前主要服务于丰林工业园区，随着管网的完善，为周边地区的连网供水提供了基础。自此，德安县自来水工程实现了“一大七小”八个水厂的布局，基本实现了自来水干管在全县农村地区的全面覆盖。</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为了提高水源保证率，减少管网漏损</w:t>
      </w:r>
      <w:r>
        <w:rPr>
          <w:rFonts w:hint="eastAsia" w:ascii="宋体" w:hAnsi="宋体" w:eastAsia="宋体" w:cs="宋体"/>
          <w:color w:val="auto"/>
          <w:kern w:val="0"/>
          <w:sz w:val="24"/>
          <w:szCs w:val="24"/>
          <w:lang w:val="en-US" w:eastAsia="zh-CN"/>
        </w:rPr>
        <w:t>率，提高自来水入户率；在“十三五”期间，又实施了：1）、德安县（2019年、2020年）管网改造工程，对各自来水老旧管网进行了改造；2）、德安县进村入户工程，对全县七个水厂进行排查，提高自来水入户率；3）、偏远农村地区加</w:t>
      </w:r>
      <w:r>
        <w:rPr>
          <w:rFonts w:hint="eastAsia" w:ascii="宋体" w:hAnsi="宋体" w:eastAsia="宋体" w:cs="宋体"/>
          <w:kern w:val="0"/>
          <w:sz w:val="24"/>
          <w:szCs w:val="24"/>
          <w:lang w:val="en-US" w:eastAsia="zh-CN"/>
        </w:rPr>
        <w:t>压站建设工程，共建成18座小型加压站。</w:t>
      </w:r>
    </w:p>
    <w:p>
      <w:pPr>
        <w:autoSpaceDE w:val="0"/>
        <w:autoSpaceDN w:val="0"/>
        <w:adjustRightInd/>
        <w:snapToGrid/>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这些农饮巩固工程的实施，取得了实质性的成效：</w:t>
      </w:r>
    </w:p>
    <w:p>
      <w:pPr>
        <w:numPr>
          <w:ilvl w:val="0"/>
          <w:numId w:val="4"/>
        </w:numPr>
        <w:autoSpaceDE w:val="0"/>
        <w:autoSpaceDN w:val="0"/>
        <w:adjustRightInd/>
        <w:snapToGrid/>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打破了原有的行政区划，各水厂之间设置了连通管，全部连同，基本实现了全县一张网；各水厂各自供水，又相互连同，提高了供水可靠性。</w:t>
      </w:r>
    </w:p>
    <w:p>
      <w:pPr>
        <w:numPr>
          <w:ilvl w:val="0"/>
          <w:numId w:val="4"/>
        </w:numPr>
        <w:autoSpaceDE w:val="0"/>
        <w:autoSpaceDN w:val="0"/>
        <w:adjustRightInd/>
        <w:snapToGrid/>
        <w:ind w:left="0" w:leftChars="0" w:firstLine="560" w:firstLineChars="0"/>
        <w:rPr>
          <w:rFonts w:hint="eastAsia" w:ascii="宋体" w:hAnsi="宋体" w:eastAsia="宋体" w:cs="宋体"/>
          <w:kern w:val="0"/>
          <w:sz w:val="24"/>
          <w:szCs w:val="24"/>
          <w:u w:val="none"/>
          <w:lang w:val="en-US" w:eastAsia="zh-CN"/>
        </w:rPr>
      </w:pPr>
      <w:r>
        <w:rPr>
          <w:rFonts w:hint="eastAsia" w:ascii="宋体" w:hAnsi="宋体" w:eastAsia="宋体" w:cs="宋体"/>
          <w:kern w:val="0"/>
          <w:sz w:val="24"/>
          <w:szCs w:val="24"/>
          <w:lang w:val="en-US" w:eastAsia="zh-CN"/>
        </w:rPr>
        <w:t>进村入户工程的实施，解决了居民用水的最后一步难题，真正的实现了村村通自来水，足不出户就可以用上自来</w:t>
      </w:r>
      <w:r>
        <w:rPr>
          <w:rFonts w:hint="eastAsia" w:ascii="宋体" w:hAnsi="宋体" w:eastAsia="宋体" w:cs="宋体"/>
          <w:kern w:val="0"/>
          <w:sz w:val="24"/>
          <w:szCs w:val="24"/>
          <w:u w:val="none"/>
          <w:lang w:val="en-US" w:eastAsia="zh-CN"/>
        </w:rPr>
        <w:t>水。</w:t>
      </w:r>
    </w:p>
    <w:p>
      <w:pPr>
        <w:autoSpaceDE w:val="0"/>
        <w:autoSpaceDN w:val="0"/>
        <w:adjustRightInd/>
        <w:snapToGrid/>
        <w:ind w:firstLine="560"/>
        <w:rPr>
          <w:rFonts w:hint="eastAsia"/>
          <w:lang w:val="en-US" w:eastAsia="zh-CN"/>
        </w:rPr>
      </w:pPr>
      <w:r>
        <w:rPr>
          <w:rFonts w:hint="eastAsia" w:ascii="宋体" w:hAnsi="宋体" w:eastAsia="宋体" w:cs="宋体"/>
          <w:kern w:val="0"/>
          <w:sz w:val="24"/>
          <w:szCs w:val="24"/>
          <w:lang w:val="en-US" w:eastAsia="zh-CN"/>
        </w:rPr>
        <w:t>3、通过这一系列工程的建设，德安县农村自来水工程取得显著的成效，农村地区覆盖人口约为12.5万人，自来水普及率达到92.3%，自来水入户量为36812块，入户率达87%。</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562" w:firstLineChars="200"/>
        <w:textAlignment w:val="auto"/>
        <w:rPr>
          <w:rFonts w:hint="eastAsia" w:ascii="Times New Roman" w:hAnsi="Times New Roman" w:eastAsia="宋体" w:cs="Times New Roman"/>
          <w:sz w:val="28"/>
          <w:szCs w:val="28"/>
          <w:highlight w:val="none"/>
          <w:lang w:val="en-US" w:eastAsia="zh-CN"/>
        </w:rPr>
      </w:pPr>
      <w:bookmarkStart w:id="26" w:name="_Toc22387"/>
      <w:r>
        <w:rPr>
          <w:rFonts w:hint="eastAsia" w:ascii="Times New Roman" w:hAnsi="Times New Roman" w:eastAsia="宋体" w:cs="Times New Roman"/>
          <w:sz w:val="28"/>
          <w:szCs w:val="28"/>
          <w:highlight w:val="none"/>
          <w:lang w:val="en-US" w:eastAsia="zh-CN"/>
        </w:rPr>
        <w:t>城乡供水工程现状</w:t>
      </w:r>
      <w:bookmarkEnd w:id="26"/>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default"/>
          <w:sz w:val="24"/>
          <w:szCs w:val="24"/>
          <w:lang w:val="en-US" w:eastAsia="zh-CN"/>
        </w:rPr>
      </w:pPr>
      <w:r>
        <w:rPr>
          <w:rFonts w:hint="eastAsia" w:ascii="宋体" w:hAnsi="宋体" w:eastAsia="宋体" w:cs="宋体"/>
          <w:kern w:val="0"/>
          <w:sz w:val="24"/>
          <w:szCs w:val="24"/>
          <w:lang w:eastAsia="zh-CN"/>
        </w:rPr>
        <w:t>雁家湖水厂</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雁家湖水厂工艺现状</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雁家湖水厂位于德安县老城区隆平大道、东佳路东北侧，占地面积22.2亩。 雁家湖水厂于 1995年建成供水，首期设计供水规模为1万m3/d，该系统位于厂区西南角，净水构筑物为二组水力循环澄清池－无阀滤池，每组设计制水能力5000m3/d。</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2005年，雁家湖水厂进行了扩建，新增2万m3/d 的供水能力，采用管道静态混合器混合，网格絮凝平流沉淀池一座，分 2 格，絮凝池进水水面标高为36.40m（黄海高程）。普通快滤池分三格，单排布置。半地下式清水池1座，平面尺寸24.9m×24.9m，有效水深3.5m，有效容积约2000m3，清水池最高水面高程为33.3m二泵房和高低压配电间合建，建筑面积约 290m加氯加药间建筑面积156m2，土建按3.0万m³/d 规模建成；厂区东北角已建综合楼 1 幢，建筑面积约1170m2。食堂和车库合建，位于厂区东南角，建筑面积约238m2。</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2013年，进行了扩建工程，新增2万m3/d 的供水能力，主要为：新建絮凝沉淀池一座；新建V 型滤池一座，平面尺寸 27.10m×18.24m；新建清水池一座，平面尺寸 33.8m×30.1m，有效水深 3.5m；将现有二级泵房与变配电间合建，泵房内设6台水泵，1#、2#、3#、4#水泵为供水泵，接2根DN600 出厂总管为居民区供水。5#和6#水泵为现状普通快滤池的反冲洗泵；新建加氯加药间一座，加氯间与加药间合建，加药部分平面尺寸16m×6.6m，加氯部分平面尺寸12m×9.6m；新建排泥池一座，平面尺寸30m×10m，有效容积810m3。</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经过3次改扩建后，雁家湖水厂总的处理能力为5万m³/d。</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4116070" cy="3008630"/>
            <wp:effectExtent l="0" t="0" r="17780" b="127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4"/>
                    <a:stretch>
                      <a:fillRect/>
                    </a:stretch>
                  </pic:blipFill>
                  <pic:spPr>
                    <a:xfrm>
                      <a:off x="0" y="0"/>
                      <a:ext cx="4116070" cy="3008630"/>
                    </a:xfrm>
                    <a:prstGeom prst="rect">
                      <a:avLst/>
                    </a:prstGeom>
                    <a:noFill/>
                    <a:ln>
                      <a:noFill/>
                    </a:ln>
                  </pic:spPr>
                </pic:pic>
              </a:graphicData>
            </a:graphic>
          </wp:inline>
        </w:drawing>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2018年9月，完成了对现有原有工艺进行了提升改造。</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、德安润泉供水原水工程</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德安润泉供水原水工程原水管线自柳田夏家至雁家湖水厂，途径聂桥镇（柳田（大屋周）、宝山村、梓坊村）、丰林镇（紫荆村、乌石村）、进入丰林工业园区、至观音阁昌九高速涵洞处，下穿涵洞过博阳河至德安县党校侧，沿河滩铺设，至德安县排涝站对岸，穿过博阳河，至城区，沿十力路铺设至雁家湖水厂；全长21.62Km，管径DN1000。</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bookmarkStart w:id="27" w:name="_Toc332011989"/>
      <w:bookmarkStart w:id="28" w:name="_Toc281840585"/>
      <w:bookmarkStart w:id="29" w:name="_Toc331699414"/>
      <w:bookmarkStart w:id="30" w:name="_Toc281905066"/>
      <w:bookmarkStart w:id="31" w:name="_Toc226953442"/>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eastAsia="zh-CN"/>
        </w:rPr>
        <w:t>雁家湖水厂水源</w:t>
      </w:r>
      <w:bookmarkEnd w:id="27"/>
      <w:bookmarkEnd w:id="28"/>
      <w:bookmarkEnd w:id="29"/>
      <w:bookmarkEnd w:id="30"/>
      <w:bookmarkEnd w:id="31"/>
      <w:r>
        <w:rPr>
          <w:rFonts w:hint="eastAsia" w:ascii="宋体" w:hAnsi="宋体" w:eastAsia="宋体" w:cs="宋体"/>
          <w:kern w:val="0"/>
          <w:sz w:val="24"/>
          <w:szCs w:val="24"/>
          <w:lang w:eastAsia="zh-CN"/>
        </w:rPr>
        <w:t>现状</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雁家湖水厂现有两个取水工程：一个位于瓦子塘水库，在柘林灌区总干渠道（燕访管理段）105国道跨渠公路桥下游80m，瓦子塘水库取水泵站输出的浑水管管径为DN800mm，设计取水能力为5万m³/d，每年的供水保障期为</w:t>
      </w:r>
      <w:r>
        <w:rPr>
          <w:rFonts w:hint="eastAsia" w:ascii="宋体" w:hAnsi="宋体" w:eastAsia="宋体" w:cs="宋体"/>
          <w:kern w:val="0"/>
          <w:sz w:val="24"/>
          <w:szCs w:val="24"/>
          <w:lang w:val="en-US" w:eastAsia="zh-CN"/>
        </w:rPr>
        <w:t>7月至9月</w:t>
      </w:r>
      <w:r>
        <w:rPr>
          <w:rFonts w:hint="eastAsia" w:ascii="宋体" w:hAnsi="宋体" w:eastAsia="宋体" w:cs="宋体"/>
          <w:kern w:val="0"/>
          <w:sz w:val="24"/>
          <w:szCs w:val="24"/>
          <w:lang w:eastAsia="zh-CN"/>
        </w:rPr>
        <w:t>；另一个取水点位于柳田夏家，建于2016年，距离雁家湖水厂约21.62Km，总取水规模为</w:t>
      </w:r>
      <w:r>
        <w:rPr>
          <w:rFonts w:hint="eastAsia" w:ascii="宋体" w:hAnsi="宋体" w:eastAsia="宋体" w:cs="宋体"/>
          <w:kern w:val="0"/>
          <w:sz w:val="24"/>
          <w:szCs w:val="24"/>
          <w:lang w:val="en-US" w:eastAsia="zh-CN"/>
        </w:rPr>
        <w:t>9</w:t>
      </w:r>
      <w:r>
        <w:rPr>
          <w:rFonts w:hint="eastAsia" w:ascii="宋体" w:hAnsi="宋体" w:eastAsia="宋体" w:cs="宋体"/>
          <w:kern w:val="0"/>
          <w:sz w:val="24"/>
          <w:szCs w:val="24"/>
          <w:lang w:eastAsia="zh-CN"/>
        </w:rPr>
        <w:t>.0万m³/d，其中雁家湖水厂部分取水规模为</w:t>
      </w:r>
      <w:r>
        <w:rPr>
          <w:rFonts w:hint="eastAsia" w:ascii="宋体" w:hAnsi="宋体" w:eastAsia="宋体" w:cs="宋体"/>
          <w:kern w:val="0"/>
          <w:sz w:val="24"/>
          <w:szCs w:val="24"/>
          <w:lang w:val="en-US" w:eastAsia="zh-CN"/>
        </w:rPr>
        <w:t>5.0万m³/d</w:t>
      </w:r>
      <w:r>
        <w:rPr>
          <w:rFonts w:hint="eastAsia" w:ascii="宋体" w:hAnsi="宋体" w:eastAsia="宋体" w:cs="宋体"/>
          <w:kern w:val="0"/>
          <w:sz w:val="24"/>
          <w:szCs w:val="24"/>
          <w:lang w:eastAsia="zh-CN"/>
        </w:rPr>
        <w:t>。</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管网现状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2013年以来，雁家湖水厂逐步向周边乡镇进行延伸，其中，2014年开始，逐步完成了河东乡管网延伸工程；2016年以来，逐步完成了给水管网进村入户工程。</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随着城市的发展，供水范围的扩大，也在逐步对县城管网中的薄弱部分进行改造。</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5、雁家湖水厂运营现状</w:t>
      </w:r>
    </w:p>
    <w:p>
      <w:pPr>
        <w:autoSpaceDE w:val="0"/>
        <w:autoSpaceDN w:val="0"/>
        <w:adjustRightInd/>
        <w:snapToGrid/>
        <w:spacing w:line="360" w:lineRule="auto"/>
        <w:ind w:firstLine="560"/>
        <w:rPr>
          <w:rFonts w:hint="eastAsia" w:ascii="Times New Roman" w:hAnsi="Times New Roman" w:eastAsia="宋体" w:cs="Times New Roman"/>
          <w:sz w:val="28"/>
          <w:szCs w:val="28"/>
          <w:highlight w:val="none"/>
          <w:lang w:val="en-US" w:eastAsia="zh-CN"/>
        </w:rPr>
      </w:pPr>
      <w:r>
        <w:rPr>
          <w:rFonts w:hint="eastAsia" w:ascii="宋体" w:hAnsi="宋体" w:eastAsia="宋体" w:cs="宋体"/>
          <w:kern w:val="0"/>
          <w:sz w:val="24"/>
          <w:szCs w:val="24"/>
          <w:lang w:val="en-US" w:eastAsia="zh-CN"/>
        </w:rPr>
        <w:t>雁家湖水厂经多次改造后，总供水规模为50000m³/d，现状实际供水规模为30000m³/d，其中农村供水规模为5000m³/d；水源为博阳河；总覆盖人口为69142人，其中县城人口为40900人，农村人口为28842人，其中“十三五”巩固提升工程受益人口为20163人，均为自来水供水人口。管网漏损率约为18%，成本水价为2.0元/m³，执行水价为1.6元/m³。</w:t>
      </w:r>
    </w:p>
    <w:p>
      <w:pPr>
        <w:pStyle w:val="6"/>
        <w:tabs>
          <w:tab w:val="left" w:pos="567"/>
        </w:tabs>
        <w:bidi w:val="0"/>
        <w:ind w:left="720" w:hanging="720"/>
        <w:rPr>
          <w:rFonts w:hint="eastAsia"/>
          <w:lang w:eastAsia="zh-CN"/>
        </w:rPr>
      </w:pPr>
      <w:r>
        <w:rPr>
          <w:rFonts w:hint="eastAsia"/>
          <w:lang w:eastAsia="zh-CN"/>
        </w:rPr>
        <w:t>林泉水厂</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林泉水厂位于林泉乡，总设计供水规模为10000m³/d，现状供水规模为4500m³/d，水源为林泉水库。</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1、水源及原水水质</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林泉水厂取水水源为林泉水库，原水水质较好，能够满足饮用水水源水质要求。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2、水厂构筑物</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2016年，林泉水厂进行了改造，采用钢结构一体化净水设备，一期供水规模为5000m³/d。处理工艺流程为“网格反应-斜管沉淀-过滤-二氧化氯消毒”；设有清水池一座，清水池总有效容积为1000m3，清水池容积为水厂最高日用水量的20%。送水泵房设水泵三台，水泵型号：KQSN200-M13卧式单级双吸离心泵，设计参数为：Q=136~227~277m3/h，H=34~28~23m。</w:t>
      </w:r>
    </w:p>
    <w:p>
      <w:pPr>
        <w:autoSpaceDE w:val="0"/>
        <w:autoSpaceDN w:val="0"/>
        <w:adjustRightInd/>
        <w:snapToGrid/>
        <w:spacing w:line="360" w:lineRule="auto"/>
        <w:jc w:val="center"/>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drawing>
          <wp:inline distT="0" distB="0" distL="114300" distR="114300">
            <wp:extent cx="2700655" cy="2536190"/>
            <wp:effectExtent l="0" t="0" r="4445" b="16510"/>
            <wp:docPr id="7" name="图片 15" descr="IMG201902271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20190227110716"/>
                    <pic:cNvPicPr>
                      <a:picLocks noChangeAspect="1"/>
                    </pic:cNvPicPr>
                  </pic:nvPicPr>
                  <pic:blipFill>
                    <a:blip r:embed="rId15"/>
                    <a:stretch>
                      <a:fillRect/>
                    </a:stretch>
                  </pic:blipFill>
                  <pic:spPr>
                    <a:xfrm>
                      <a:off x="0" y="0"/>
                      <a:ext cx="2700655" cy="2536190"/>
                    </a:xfrm>
                    <a:prstGeom prst="rect">
                      <a:avLst/>
                    </a:prstGeom>
                    <a:noFill/>
                    <a:ln>
                      <a:noFill/>
                    </a:ln>
                  </pic:spPr>
                </pic:pic>
              </a:graphicData>
            </a:graphic>
          </wp:inline>
        </w:drawing>
      </w:r>
      <w:r>
        <w:rPr>
          <w:rFonts w:hint="eastAsia" w:ascii="宋体" w:hAnsi="宋体" w:eastAsia="宋体" w:cs="宋体"/>
          <w:kern w:val="0"/>
          <w:sz w:val="24"/>
          <w:szCs w:val="24"/>
          <w:lang w:val="en-US" w:eastAsia="zh-CN"/>
        </w:rPr>
        <w:t xml:space="preserve">   </w:t>
      </w:r>
      <w:r>
        <w:rPr>
          <w:rFonts w:hint="default" w:ascii="宋体" w:hAnsi="宋体" w:eastAsia="宋体" w:cs="宋体"/>
          <w:kern w:val="0"/>
          <w:sz w:val="24"/>
          <w:szCs w:val="24"/>
          <w:lang w:val="en-US" w:eastAsia="zh-CN"/>
        </w:rPr>
        <w:drawing>
          <wp:inline distT="0" distB="0" distL="114300" distR="114300">
            <wp:extent cx="2684145" cy="2566670"/>
            <wp:effectExtent l="0" t="0" r="1905" b="5080"/>
            <wp:docPr id="8" name="图片 16" descr="林泉水厂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林泉水厂现状图"/>
                    <pic:cNvPicPr>
                      <a:picLocks noChangeAspect="1"/>
                    </pic:cNvPicPr>
                  </pic:nvPicPr>
                  <pic:blipFill>
                    <a:blip r:embed="rId16"/>
                    <a:stretch>
                      <a:fillRect/>
                    </a:stretch>
                  </pic:blipFill>
                  <pic:spPr>
                    <a:xfrm>
                      <a:off x="0" y="0"/>
                      <a:ext cx="2684145" cy="2566670"/>
                    </a:xfrm>
                    <a:prstGeom prst="rect">
                      <a:avLst/>
                    </a:prstGeom>
                    <a:noFill/>
                    <a:ln>
                      <a:noFill/>
                    </a:ln>
                  </pic:spPr>
                </pic:pic>
              </a:graphicData>
            </a:graphic>
          </wp:inline>
        </w:drawing>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3、管网</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2016年，丰林水厂已完成林泉水厂至丰林工业园主干管的铺设，随着高塘水厂以及林泉乡国有水厂的收购，原高塘水厂、国有水厂的供水区成为了新的薄弱环节，管网老旧严重，漏损率高，2019年，已经立项，对部分老旧管网进行改造。</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4、林泉水厂运营现状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林泉水厂总设计规模为5000m³/d，实际供水量为4500m³/d；水源为林泉水库；总覆盖人口为31277人，其中城镇人口6596人，农村人口为24682人，其中“十三五”巩固提升工程受益人口为22972人，均为自来水供水人口。管网漏损率约为20%，成本水价为2.0元/m³，执行水价为1.6元/m³。</w:t>
      </w:r>
    </w:p>
    <w:p>
      <w:pPr>
        <w:pStyle w:val="6"/>
        <w:tabs>
          <w:tab w:val="left" w:pos="567"/>
        </w:tabs>
        <w:bidi w:val="0"/>
        <w:ind w:left="720" w:hanging="720"/>
        <w:rPr>
          <w:rFonts w:hint="eastAsia" w:ascii="Arial" w:hAnsi="Arial"/>
          <w:b/>
          <w:lang w:val="en-US" w:eastAsia="zh-CN"/>
        </w:rPr>
      </w:pPr>
      <w:bookmarkStart w:id="32" w:name="_Toc23080"/>
      <w:r>
        <w:rPr>
          <w:rFonts w:hint="eastAsia" w:ascii="Arial" w:hAnsi="Arial"/>
          <w:b/>
          <w:lang w:val="en-US" w:eastAsia="zh-CN"/>
        </w:rPr>
        <w:t>红桥水厂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德安县吴山镇“十一五”期间已经建成了两个农饮水厂，分别是红桥水厂，处理规模为1400m3/d；蔡山垅水厂，处理规模为600m3/d，由于发展需求，两水厂的处理规模和工艺均不能满足供水需要。在充分考虑现状后，2016年，对现状红桥水厂进行改建。</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1、水源及原水水质</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红桥水厂取水水源为红桥水库，原水水质较好，能够满足饮用水水源水质要求，采用浮船取水。</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2、水厂构筑物</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2016年，红桥水厂进行了改造，采用钢结构一体化净水设备，一期供水规模为2900m³/d。处理工艺流程为“网格反应-斜管沉淀-过滤-二氧化氯消毒”；设有清水池一座，清水池总有效容积为600m3。</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采用自流供水。</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3、管网</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2014年，为配合水厂改造工程，红桥水厂进行了主干管的改造，改用了球墨铸铁管，能够满足水厂的供水需要，目前主干管基本敷设到位。</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4、红桥水厂运营现状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红桥水厂已建供水规模为2900m³/d，实际供水量为2100m³/d；水源为红桥水库；总覆盖人口为23194人，其中城镇人口7404人，农村人口为15790人，其中“十三五”巩固提升工程受益人口为15433人，均为自来水供水人口。管网漏损率约为18%，成本水价为2.0元/m³，执行水价为1.6元/m³。</w:t>
      </w:r>
    </w:p>
    <w:p>
      <w:pPr>
        <w:pStyle w:val="6"/>
        <w:tabs>
          <w:tab w:val="left" w:pos="567"/>
        </w:tabs>
        <w:bidi w:val="0"/>
        <w:ind w:left="720" w:hanging="720"/>
        <w:rPr>
          <w:rFonts w:hint="eastAsia" w:ascii="Arial" w:hAnsi="Arial"/>
          <w:b/>
          <w:lang w:val="en-US" w:eastAsia="zh-CN"/>
        </w:rPr>
      </w:pPr>
      <w:r>
        <w:rPr>
          <w:rFonts w:hint="eastAsia" w:ascii="Arial" w:hAnsi="Arial"/>
          <w:b/>
          <w:lang w:val="en-US" w:eastAsia="zh-CN"/>
        </w:rPr>
        <w:t>车桥</w:t>
      </w:r>
      <w:bookmarkEnd w:id="32"/>
      <w:r>
        <w:rPr>
          <w:rFonts w:hint="eastAsia"/>
          <w:b/>
          <w:lang w:val="en-US" w:eastAsia="zh-CN"/>
        </w:rPr>
        <w:t>水厂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车桥镇原有一座车桥自来水工程，水源为地下水，由于供水设施太过于简陋，目前基本处于废弃状态；2018年，选址重建，设计供水规模为1500m³/d。</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1、水源及原水水质</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取水水源为上易水库，原水水质较好，能够满足饮用水水源水质要求。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2、水厂构筑物</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车桥镇于2015年已实施“江西省抗旱应急引调提水工程德安县车桥镇引提水工程”，新建提水泵房：提水泵布置大坝右侧，泵房高程为114.0m，采用潜水泵，内布置两台（供水泵与灌溉泵），新设两台潜水泵与出水管均采用直联式连接,取水规模约为2000m³/d，且运行正常，能够满足本工程取水，可以直接利用。</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水处理设施采用的是钢结构一体化净水设备，处理工艺流程为“网格反应-斜管沉淀-过滤-二氧化氯消毒”，水厂正在实施过程中。</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水厂供水采用自流供水。</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3、管网</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车桥镇于2015年已实施“江西省抗旱应急引调提水工程德安县车桥镇引提水工程” ，其管网主要内容有：供水管道采用PE管，管线总长17.11km，管道基本沿道路布置。供水管道由南、北两条主管组成。其中沿南方向管道长10.6km，起点为上易水库，沿九井村至车桥镇与现有车桥镇供水管道相连。沿北方向主管长6.51km，沿昆山村至白水村。</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但此部分管网主要用于抗旱灌溉提水，为解决抗旱用水与居民饮用水之间的矛盾，2019年已经立项，将对部分老旧管网进行改造。</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4、车桥水厂运营现状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车桥水厂已建供水规模为1500m³/d，实际供水量为1000m³/d；水源为上易水库；总覆盖人口为10498人，其中城镇人口694人，农村人口为9804人，其中“十三五”巩固提升工程受益人口为7618人，均为自来水供水人口。管网漏损率约为18%，成本水价为2.0元/m³，执行水价为1.6元/m³。</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5、车桥水厂存在的问题</w:t>
      </w:r>
    </w:p>
    <w:p>
      <w:pPr>
        <w:autoSpaceDE w:val="0"/>
        <w:autoSpaceDN w:val="0"/>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根据现场踏勘，目前</w:t>
      </w:r>
      <w:r>
        <w:rPr>
          <w:rFonts w:hint="eastAsia" w:ascii="宋体" w:hAnsi="宋体" w:eastAsia="宋体" w:cs="宋体"/>
          <w:kern w:val="0"/>
          <w:sz w:val="24"/>
          <w:szCs w:val="24"/>
          <w:lang w:val="en-US" w:eastAsia="zh-CN"/>
        </w:rPr>
        <w:t>车桥</w:t>
      </w:r>
      <w:r>
        <w:rPr>
          <w:rFonts w:hint="eastAsia" w:ascii="宋体" w:hAnsi="宋体" w:eastAsia="宋体" w:cs="宋体"/>
          <w:kern w:val="0"/>
          <w:sz w:val="24"/>
          <w:szCs w:val="24"/>
          <w:lang w:eastAsia="zh-CN"/>
        </w:rPr>
        <w:t>水厂主要存在以下问题：</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1）、目前的供水范围主要满足于车桥水厂自流供水可以到达的地区，对于地势较高的区域，需要建设末端加压泵站。</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2）、部分主干管较为老旧，成为了供水保障过程中的薄弱环节，需要进行改造。</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3）、管网现在监测能力较弱，没有形成全县统一的供水监测网络，不能够及时对存在安全隐患或者安全事故进行排查。</w:t>
      </w:r>
    </w:p>
    <w:p>
      <w:pPr>
        <w:pStyle w:val="6"/>
        <w:tabs>
          <w:tab w:val="left" w:pos="567"/>
        </w:tabs>
        <w:bidi w:val="0"/>
        <w:ind w:left="720" w:hanging="720"/>
        <w:rPr>
          <w:rFonts w:hint="eastAsia" w:ascii="Arial" w:hAnsi="Arial"/>
          <w:b/>
          <w:lang w:val="en-US" w:eastAsia="zh-CN"/>
        </w:rPr>
      </w:pPr>
      <w:bookmarkStart w:id="33" w:name="_Toc6646"/>
      <w:r>
        <w:rPr>
          <w:rFonts w:hint="eastAsia" w:ascii="Arial" w:hAnsi="Arial"/>
          <w:b/>
          <w:lang w:val="en-US" w:eastAsia="zh-CN"/>
        </w:rPr>
        <w:t>磨溪</w:t>
      </w:r>
      <w:bookmarkEnd w:id="33"/>
      <w:r>
        <w:rPr>
          <w:rFonts w:hint="eastAsia"/>
          <w:b/>
          <w:lang w:val="en-US" w:eastAsia="zh-CN"/>
        </w:rPr>
        <w:t>水厂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磨溪乡原有一处自来水工程，水源为地下水，在河边打大口井，由于供水设施太过于简陋，目前基本处于废弃状态；2018年，选址重建，设计供水规模为1600m³/d。</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1、水源及原水水质</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取水水源为新田水库，原水水质较好，能够满足饮用水水源水质要求。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2、水厂构筑物</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水处理设施采用的是钢结构一体化净水设备，处理工艺流程为“网格反应-斜管沉淀-过滤-二氧化氯消毒”。</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3、管网</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磨溪乡于2015年已实施“江西省抗旱应急引调提水工程德安县磨溪乡引提水工程” ，其管网主要内容有：</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供水管道采用PE管，管线总长13.96km，管道基本沿道路布置。供水管道由西北、动北两条主管组成。其中西北方向管道长8.6km，起点为新田水库。沿东北方向主管长5.26km，沿老口闵家至宝泉村。</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但此部分管网主要用于抗旱灌溉提水，为解决抗旱用水与居民饮用水之间的矛盾，2019年已经立项，将对部分老旧管网进行改造。</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4、磨溪水厂运营现状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磨溪水厂已建供水规模为1600m³/d，实际供水量为1000m³/d；水源为新田水库；总覆盖人口为11185人，其中城镇人口340人，农村人口为10845人，其中“十三五”巩固提升工程受益人口为6072人，均为自来水供水人口。管网漏损率约为18%，成本水价为2.0元/m³，执行水价为1.6元/m³。</w:t>
      </w:r>
    </w:p>
    <w:p>
      <w:pPr>
        <w:pStyle w:val="6"/>
        <w:tabs>
          <w:tab w:val="left" w:pos="567"/>
        </w:tabs>
        <w:bidi w:val="0"/>
        <w:ind w:left="720" w:hanging="720"/>
        <w:rPr>
          <w:rFonts w:hint="eastAsia"/>
          <w:sz w:val="28"/>
          <w:szCs w:val="28"/>
          <w:lang w:val="en-US" w:eastAsia="zh-CN"/>
        </w:rPr>
      </w:pPr>
      <w:r>
        <w:rPr>
          <w:rFonts w:hint="eastAsia"/>
          <w:sz w:val="28"/>
          <w:szCs w:val="28"/>
          <w:lang w:val="en-US" w:eastAsia="zh-CN"/>
        </w:rPr>
        <w:t>邹桥</w:t>
      </w:r>
      <w:r>
        <w:rPr>
          <w:rFonts w:hint="eastAsia"/>
          <w:sz w:val="28"/>
          <w:szCs w:val="28"/>
          <w:lang w:eastAsia="zh-CN"/>
        </w:rPr>
        <w:t>水厂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1、工程现状</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邹桥自来水厂始建于2008年8月，完工于2008年12月。往后每年都进行管网铺设及延伸。供水范围为邹桥乡（邹桥集镇、邹桥村、石门村、杨坊村、张坑村、付山村、源口村）、爱民乡（土塘村、南山村、红岩村、柏树村），受益学校有：邹桥小学、爱民学校。工程</w:t>
      </w:r>
      <w:r>
        <w:rPr>
          <w:rFonts w:hint="eastAsia" w:ascii="宋体" w:hAnsi="宋体" w:eastAsia="宋体" w:cs="宋体"/>
          <w:kern w:val="0"/>
          <w:sz w:val="24"/>
          <w:szCs w:val="24"/>
          <w:lang w:val="zh-CN" w:eastAsia="zh-CN"/>
        </w:rPr>
        <w:t>受益人口</w:t>
      </w:r>
      <w:r>
        <w:rPr>
          <w:rFonts w:hint="eastAsia" w:ascii="宋体" w:hAnsi="宋体" w:eastAsia="宋体" w:cs="宋体"/>
          <w:kern w:val="0"/>
          <w:sz w:val="24"/>
          <w:szCs w:val="24"/>
          <w:lang w:val="en-US" w:eastAsia="zh-CN"/>
        </w:rPr>
        <w:t>16250</w:t>
      </w:r>
      <w:r>
        <w:rPr>
          <w:rFonts w:hint="eastAsia" w:ascii="宋体" w:hAnsi="宋体" w:eastAsia="宋体" w:cs="宋体"/>
          <w:kern w:val="0"/>
          <w:sz w:val="24"/>
          <w:szCs w:val="24"/>
          <w:lang w:val="zh-CN" w:eastAsia="zh-CN"/>
        </w:rPr>
        <w:t>人，</w:t>
      </w:r>
      <w:r>
        <w:rPr>
          <w:rFonts w:hint="eastAsia" w:ascii="宋体" w:hAnsi="宋体" w:eastAsia="宋体" w:cs="宋体"/>
          <w:kern w:val="0"/>
          <w:sz w:val="24"/>
          <w:szCs w:val="24"/>
          <w:lang w:val="en-US" w:eastAsia="zh-CN"/>
        </w:rPr>
        <w:t>中小学生1347人，工程总设计供水规模为3000m3/d，目前采用的是一体化处理设备，水处理规模为1000m³/d。</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114300" distR="114300">
            <wp:extent cx="3886835" cy="2915285"/>
            <wp:effectExtent l="0" t="0" r="18415" b="18415"/>
            <wp:docPr id="9" name="图片 10" descr="ALIM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ALIM0466"/>
                    <pic:cNvPicPr>
                      <a:picLocks noChangeAspect="1"/>
                    </pic:cNvPicPr>
                  </pic:nvPicPr>
                  <pic:blipFill>
                    <a:blip r:embed="rId17"/>
                    <a:stretch>
                      <a:fillRect/>
                    </a:stretch>
                  </pic:blipFill>
                  <pic:spPr>
                    <a:xfrm>
                      <a:off x="0" y="0"/>
                      <a:ext cx="3886835" cy="2915285"/>
                    </a:xfrm>
                    <a:prstGeom prst="rect">
                      <a:avLst/>
                    </a:prstGeom>
                    <a:noFill/>
                    <a:ln>
                      <a:noFill/>
                    </a:ln>
                  </pic:spPr>
                </pic:pic>
              </a:graphicData>
            </a:graphic>
          </wp:inline>
        </w:drawing>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2、处理工艺</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水源为湖塘水库，原水经取水泵提升至一体化处理设备；水厂工艺流程为一体化水处理设备</w:t>
      </w:r>
      <w:r>
        <w:rPr>
          <w:rFonts w:hint="default" w:ascii="宋体" w:hAnsi="宋体" w:eastAsia="宋体" w:cs="宋体"/>
          <w:kern w:val="0"/>
          <w:sz w:val="24"/>
          <w:szCs w:val="24"/>
          <w:lang w:val="en-US" w:eastAsia="zh-CN"/>
        </w:rPr>
        <w:t>—</w:t>
      </w:r>
      <w:r>
        <w:rPr>
          <w:rFonts w:hint="eastAsia" w:ascii="宋体" w:hAnsi="宋体" w:eastAsia="宋体" w:cs="宋体"/>
          <w:kern w:val="0"/>
          <w:sz w:val="24"/>
          <w:szCs w:val="24"/>
          <w:lang w:val="en-US" w:eastAsia="zh-CN"/>
        </w:rPr>
        <w:t>二氧化氯消毒</w:t>
      </w:r>
      <w:r>
        <w:rPr>
          <w:rFonts w:hint="default" w:ascii="宋体" w:hAnsi="宋体" w:eastAsia="宋体" w:cs="宋体"/>
          <w:kern w:val="0"/>
          <w:sz w:val="24"/>
          <w:szCs w:val="24"/>
          <w:lang w:val="en-US" w:eastAsia="zh-CN"/>
        </w:rPr>
        <w:t>—</w:t>
      </w:r>
      <w:r>
        <w:rPr>
          <w:rFonts w:hint="eastAsia" w:ascii="宋体" w:hAnsi="宋体" w:eastAsia="宋体" w:cs="宋体"/>
          <w:kern w:val="0"/>
          <w:sz w:val="24"/>
          <w:szCs w:val="24"/>
          <w:lang w:val="en-US" w:eastAsia="zh-CN"/>
        </w:rPr>
        <w:t>用户。</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输水管道为PVC管，管长0.5Km；水厂建成初期配水管材采用PVC给水管，2014进行了管网改造及延伸，改用球墨铸铁管，铺设了邹桥至爱民主干管，配水管网总长32Km。工程总投资1498.79万元。</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3、邹桥水厂运营现状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邹桥水厂设计供水规模为5000m³/d，已建水厂规模为2000m³/d，实际供水量为1800m³/d；水源湖塘水库；总覆盖人口为14316人，其中城镇人口256人，农村人口为14060人，其中“十三五”巩固提升工程受益人口为10250人，均为自来水供水人口。管网漏损率约为18%，成本水价为2.0元/m³，执行水价为1.6元/m³。</w:t>
      </w:r>
    </w:p>
    <w:p>
      <w:pPr>
        <w:pStyle w:val="6"/>
        <w:tabs>
          <w:tab w:val="left" w:pos="567"/>
        </w:tabs>
        <w:bidi w:val="0"/>
        <w:ind w:left="720" w:hanging="720"/>
        <w:rPr>
          <w:rFonts w:hint="eastAsia"/>
          <w:sz w:val="28"/>
          <w:szCs w:val="28"/>
        </w:rPr>
      </w:pPr>
      <w:r>
        <w:rPr>
          <w:rFonts w:hint="eastAsia"/>
          <w:sz w:val="28"/>
          <w:szCs w:val="28"/>
          <w:lang w:val="en-US" w:eastAsia="zh-CN"/>
        </w:rPr>
        <w:t>彭山水厂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1、工程现状</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彭山水厂始建于2019年10月，完工于2020年6月。设计供水规模为2万m³/d,目前已建1万m³/d，主要供水范围为丰林工业园，取水水源为博阳河，与雁家湖水厂共用原水管线及取水泵房。</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2、水厂构筑物</w:t>
      </w:r>
    </w:p>
    <w:p>
      <w:pPr>
        <w:autoSpaceDE w:val="0"/>
        <w:autoSpaceDN w:val="0"/>
        <w:adjustRightInd/>
        <w:snapToGrid/>
        <w:spacing w:line="360" w:lineRule="auto"/>
        <w:ind w:firstLine="560"/>
        <w:rPr>
          <w:rFonts w:hint="eastAsia"/>
          <w:sz w:val="28"/>
          <w:szCs w:val="28"/>
          <w:lang w:val="en-US" w:eastAsia="zh-CN"/>
        </w:rPr>
      </w:pPr>
      <w:r>
        <w:rPr>
          <w:rFonts w:hint="eastAsia" w:ascii="宋体" w:hAnsi="宋体" w:eastAsia="宋体" w:cs="宋体"/>
          <w:kern w:val="0"/>
          <w:sz w:val="24"/>
          <w:szCs w:val="24"/>
          <w:lang w:val="en-US" w:eastAsia="zh-CN"/>
        </w:rPr>
        <w:t>水处理设施采用的是钢结构一体化净水设备，处理工艺流程为“网格反应-斜管沉淀-过滤-二氧化氯消毒”；</w:t>
      </w:r>
    </w:p>
    <w:p>
      <w:pPr>
        <w:pStyle w:val="6"/>
        <w:tabs>
          <w:tab w:val="left" w:pos="567"/>
        </w:tabs>
        <w:bidi w:val="0"/>
        <w:ind w:left="720" w:hanging="720"/>
        <w:rPr>
          <w:rFonts w:hint="eastAsia"/>
          <w:sz w:val="28"/>
          <w:szCs w:val="28"/>
        </w:rPr>
      </w:pPr>
      <w:r>
        <w:rPr>
          <w:rFonts w:hint="eastAsia"/>
          <w:sz w:val="28"/>
          <w:szCs w:val="28"/>
        </w:rPr>
        <w:t>塘山</w:t>
      </w:r>
      <w:r>
        <w:rPr>
          <w:rFonts w:hint="eastAsia"/>
          <w:sz w:val="28"/>
          <w:szCs w:val="28"/>
          <w:lang w:eastAsia="zh-CN"/>
        </w:rPr>
        <w:t>水厂</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“十一五”期间，塘山乡取水采用管井，共设有两眼管井，其中一眼井深70m,一眼井深40m。日供水量约680m³/d，井水经过提升泵站提至塘山中学后山的高位水池，然后由水池自流供水。</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德安县塘山乡狐狸洞引提水工程为江西省抗旱应急水源工程----引调提水工程2014年实施项目之一，工程通过增加抗旱应急水源（狐狸洞）、水源拦污拦砂治理、增容更新深井泵，新建管道，扩大自来水管网覆盖范围、回复灌溉渠道及新建下游灌溉管道等措施，切实保障项目区居民的正常生活用水，使得下游农田灌溉用水有所保障。</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狐狸洞深井泵河底水位271.70m,常水位为273.20m，动水位274.0m，泵房地面标高294.40m，内设1t手拉葫芦。</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工程在利用现有提升泵站及取水管井的基础上，进行改造。一、加强水源保护，提高狐狸洞周边卫生条件；二、在学校后山建设一座500m³/d的水厂，采用一体化钢结构水处理构筑物；增设消毒设备，对出厂水进行消毒。</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管网利用现有给水管网进行供水。</w:t>
      </w:r>
    </w:p>
    <w:p>
      <w:pPr>
        <w:autoSpaceDE w:val="0"/>
        <w:autoSpaceDN w:val="0"/>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3、塘山水厂运营现状</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塘山水厂设计供水规模为1000m³/d，实际供水量为500m³/d；水源为狐狸洞暗河；总覆盖人口为6258人，其中城镇人口108人，农村人口为6150人。“十三五”受益人口3685人，管网漏损率约为18%，成本水价为2.0元/m³，执行水价为1.6元/m³。</w:t>
      </w:r>
    </w:p>
    <w:p>
      <w:pPr>
        <w:pStyle w:val="6"/>
        <w:tabs>
          <w:tab w:val="left" w:pos="567"/>
        </w:tabs>
        <w:bidi w:val="0"/>
        <w:ind w:left="720" w:hanging="720"/>
        <w:rPr>
          <w:rFonts w:hint="default"/>
          <w:sz w:val="28"/>
          <w:szCs w:val="28"/>
          <w:lang w:val="en-US" w:eastAsia="zh-CN"/>
        </w:rPr>
      </w:pPr>
      <w:r>
        <w:rPr>
          <w:rFonts w:hint="eastAsia"/>
          <w:sz w:val="28"/>
          <w:szCs w:val="28"/>
          <w:lang w:val="en-US" w:eastAsia="zh-CN"/>
        </w:rPr>
        <w:t>农饮工程</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付山农饮工程：设以山溪水为水源的水厂一座，工程设计规模为80吨/天，现状实供水规模为60吨/天；水厂供水覆盖张坑村、付山村两行政村大部分地区，覆盖人口为891人；随着移民政策的深入，这部分居民将逐步被转移至山下。</w:t>
      </w:r>
    </w:p>
    <w:p>
      <w:pPr>
        <w:autoSpaceDE w:val="0"/>
        <w:autoSpaceDN w:val="0"/>
        <w:adjustRightInd/>
        <w:snapToGrid/>
        <w:spacing w:line="360" w:lineRule="auto"/>
        <w:ind w:firstLine="56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源口农饮工程：设以山溪水为水源的水厂一座，工程设计规模为80吨/天，现状实供水规模为60吨/天；水厂供水覆盖源口村下大泉周家、汪家等7个自然村，覆盖人口为1126人；目前润泉自来水工程的主干管已经铺设至了村口，将进行管网延伸；原农饮工程将逐步被淘汰。</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562" w:firstLineChars="200"/>
        <w:textAlignment w:val="auto"/>
        <w:rPr>
          <w:rFonts w:hint="eastAsia" w:ascii="Times New Roman" w:hAnsi="Times New Roman" w:eastAsia="宋体" w:cs="Times New Roman"/>
          <w:sz w:val="28"/>
          <w:szCs w:val="28"/>
          <w:highlight w:val="none"/>
          <w:lang w:val="en-US" w:eastAsia="zh-CN"/>
        </w:rPr>
      </w:pPr>
      <w:bookmarkStart w:id="34" w:name="_Toc30886"/>
      <w:r>
        <w:rPr>
          <w:rFonts w:hint="eastAsia" w:ascii="Times New Roman" w:hAnsi="Times New Roman" w:eastAsia="宋体" w:cs="Times New Roman"/>
          <w:sz w:val="28"/>
          <w:szCs w:val="28"/>
          <w:highlight w:val="none"/>
          <w:lang w:val="en-US" w:eastAsia="zh-CN"/>
        </w:rPr>
        <w:t>城乡供水现状存在的问题</w:t>
      </w:r>
      <w:bookmarkEnd w:id="34"/>
    </w:p>
    <w:p>
      <w:pPr>
        <w:adjustRightInd/>
        <w:snapToGrid/>
        <w:ind w:firstLine="56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本次规划共涉及“一大七小”八个现有水厂。这些水厂的建设为农村饮水工程做出了突出的贡献，但在</w:t>
      </w:r>
      <w:r>
        <w:rPr>
          <w:rFonts w:hint="eastAsia" w:ascii="宋体" w:hAnsi="宋体" w:eastAsia="宋体" w:cs="宋体"/>
          <w:color w:val="auto"/>
          <w:sz w:val="24"/>
          <w:szCs w:val="24"/>
        </w:rPr>
        <w:t>工程供水保障程度、工程规模论证、工程长效运行、水源保护、建设资金筹措等方面</w:t>
      </w:r>
      <w:r>
        <w:rPr>
          <w:rFonts w:hint="eastAsia" w:ascii="宋体" w:hAnsi="宋体" w:eastAsia="宋体" w:cs="宋体"/>
          <w:color w:val="auto"/>
          <w:sz w:val="24"/>
          <w:szCs w:val="24"/>
          <w:lang w:val="en-US" w:eastAsia="zh-CN"/>
        </w:rPr>
        <w:t>也存在一定的问题</w:t>
      </w:r>
      <w:r>
        <w:rPr>
          <w:rFonts w:hint="eastAsia" w:ascii="宋体" w:hAnsi="宋体" w:eastAsia="宋体" w:cs="宋体"/>
          <w:color w:val="auto"/>
          <w:sz w:val="24"/>
          <w:szCs w:val="24"/>
        </w:rPr>
        <w:t>。</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1、水源可靠性</w:t>
      </w:r>
    </w:p>
    <w:p>
      <w:pPr>
        <w:numPr>
          <w:ilvl w:val="0"/>
          <w:numId w:val="5"/>
        </w:num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、雁家湖水厂的有两处供水水源，分别为瓦子塘水库及博阳河，瓦子塘水库为备用水源，每年可供水月份为7~9月，供水保证率不高，需要寻找新的更加可靠的备用水源。</w:t>
      </w:r>
    </w:p>
    <w:p>
      <w:pPr>
        <w:numPr>
          <w:ilvl w:val="0"/>
          <w:numId w:val="5"/>
        </w:num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、由于林泉水库供水功能的调整，部分原水用于丰林工业园区工业用水，导致水厂的规模无法继续扩大。</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2、水厂规模及自动化管理</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随着乡村振兴战略的实施，特别是德安县高塘影视小镇以及义门陈特色小镇的陆续实施，导致原有供水体系局部出现问题，需要进行调整供水布局。</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水厂的自动化运行程度不高，不能够自动化监控及控制“取水-制水-配水”全流程，对运行过程中的问题不能够及时作出最快的反应，管网的漏损排查工作难度很大，导致管网漏损率较高。</w:t>
      </w:r>
    </w:p>
    <w:p>
      <w:pPr>
        <w:adjustRightInd/>
        <w:snapToGrid/>
        <w:ind w:firstLine="560"/>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3、管网及进村入户工程</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两个水厂基本完成了管网改造及进村入户工程，但在新建的管网以及改造的管网中，仍存在薄弱环节，仍有部分村点或住户未完成水表的安装，水厂运行过程中的查缺补漏，仍是未来的工作重点。</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4、人才队伍</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近些年随着工程的建设，培养了一批专业建设人员以及管理人员，但是农村地区吸引力不强，人才流失相当严重，管理队伍专业化水平不高。</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5、资金筹措方面</w:t>
      </w:r>
    </w:p>
    <w:p>
      <w:pPr>
        <w:adjustRightInd/>
        <w:snapToGrid/>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农村自来水工程为公益性工程，投资量巨大，仅靠收取的水费无法满足工程的建设以及日常的维护，资金短缺非常严重。</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562" w:firstLineChars="200"/>
        <w:textAlignment w:val="auto"/>
        <w:rPr>
          <w:rFonts w:hint="eastAsia" w:ascii="Times New Roman" w:hAnsi="Times New Roman" w:eastAsia="宋体" w:cs="Times New Roman"/>
          <w:color w:val="auto"/>
          <w:sz w:val="28"/>
          <w:szCs w:val="28"/>
          <w:highlight w:val="none"/>
          <w:lang w:val="en-US" w:eastAsia="zh-CN"/>
        </w:rPr>
      </w:pPr>
      <w:bookmarkStart w:id="35" w:name="_Toc28953"/>
      <w:r>
        <w:rPr>
          <w:rFonts w:hint="eastAsia" w:ascii="Times New Roman" w:hAnsi="Times New Roman" w:eastAsia="宋体" w:cs="Times New Roman"/>
          <w:color w:val="auto"/>
          <w:sz w:val="28"/>
          <w:szCs w:val="28"/>
          <w:highlight w:val="none"/>
          <w:lang w:val="en-US" w:eastAsia="zh-CN"/>
        </w:rPr>
        <w:t>现状城乡供水工程利用分析</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经过对现有农村自来水工程以及农饮工程的分析，2010年以前建设的农饮工程大多水处理设施以及消毒设备不完善，管道漏损率高，在后续的建设过程中，将逐渐被淘汰。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2010年以后建设的项目，大多按照自来水工程的标准进行建设，是目前供水工程的主力，管网较为完好，入户率高，水厂各项设施较为完整，在后续规划中，将继续使用。</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562" w:firstLineChars="200"/>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 xml:space="preserve"> </w:t>
      </w:r>
      <w:bookmarkStart w:id="36" w:name="_Toc31182"/>
      <w:r>
        <w:rPr>
          <w:rFonts w:hint="eastAsia" w:ascii="Times New Roman" w:hAnsi="Times New Roman" w:eastAsia="宋体" w:cs="Times New Roman"/>
          <w:sz w:val="28"/>
          <w:szCs w:val="28"/>
          <w:highlight w:val="none"/>
          <w:lang w:val="en-US" w:eastAsia="zh-CN"/>
        </w:rPr>
        <w:t>实施城乡供水一体化的必要性</w:t>
      </w:r>
      <w:bookmarkEnd w:id="36"/>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符合国家相关发展战略要求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习近平总书记在党的十九大报告提出，应当着力解决发展的不平衡不充分问题，坚定实施乡村振兴战略和区域协调发展战略。根据统筹城乡发展的要求，按照统一规划、合理布局、保护环境、协调推进的原则，统筹区域水利、交通、管道、通信等基础设施建设，通过整体规划、重点倾斜，加大对农村地区的投入力度，扩大优质增量供给，实现供需动态平衡。李克强总理在2019年6月国务院常务会议指出，要加大工程建设力度，通过实施农村供水工程，全面解决农村人口饮水存在的供水水量不足、水质不达标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2019年中央一号文件指出要加快解决农村</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吃水难</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和饮水不安全问题，推进农村饮水安全巩固提升工程，加强农村饮用水水源地保护。同年，鄂竟平在全国水利工作会议上指出，农村饮水安全是五大水利攻坚战之一，是实施乡村振兴战略的底线任务，是全面建成小康社会的硬任务。水利部门将大力推进城乡供水一体化、农村供水规模化标准化建设，聚焦</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建得好</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改得好</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管得好</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，梯次推进农村饮水安全巩固提升，进一步提高农村地区集中供水率、自来水普及率、供水保证率和水质达标率，全面提升农村饮水安全保障水平，</w:t>
      </w:r>
      <w:r>
        <w:rPr>
          <w:rFonts w:hint="eastAsia" w:ascii="宋体" w:hAnsi="宋体" w:eastAsia="宋体" w:cs="宋体"/>
          <w:sz w:val="24"/>
          <w:szCs w:val="24"/>
          <w:lang w:val="en-US" w:eastAsia="zh-CN"/>
        </w:rPr>
        <w:t>到</w:t>
      </w:r>
      <w:r>
        <w:rPr>
          <w:rFonts w:hint="default" w:ascii="宋体" w:hAnsi="宋体" w:eastAsia="宋体" w:cs="宋体"/>
          <w:sz w:val="24"/>
          <w:szCs w:val="24"/>
          <w:lang w:val="en-US" w:eastAsia="zh-CN"/>
        </w:rPr>
        <w:t>2019年年底，全国农村集中供水率达到86%，自来水普及率达到 82%。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农村供水工程是农村经济社会发展的关键基础设施，是提高农民生活质量及农民健康水平、确保农村经济稳定发展不可或缺的基础设施，是贯彻实施城乡协调发展和乡村振兴战略的重要举措。 </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推进城乡一体化和规模化集中供水是提高居民生活水平和维持社会稳定的重要举措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近年来，随着农村自来水工程建设以及城市供水管网延伸，</w:t>
      </w:r>
      <w:r>
        <w:rPr>
          <w:rFonts w:hint="eastAsia" w:ascii="宋体" w:hAnsi="宋体" w:eastAsia="宋体" w:cs="宋体"/>
          <w:sz w:val="24"/>
          <w:szCs w:val="24"/>
          <w:lang w:val="en-US" w:eastAsia="zh-CN"/>
        </w:rPr>
        <w:t>德安</w:t>
      </w:r>
      <w:r>
        <w:rPr>
          <w:rFonts w:hint="default" w:ascii="宋体" w:hAnsi="宋体" w:eastAsia="宋体" w:cs="宋体"/>
          <w:sz w:val="24"/>
          <w:szCs w:val="24"/>
          <w:lang w:val="en-US" w:eastAsia="zh-CN"/>
        </w:rPr>
        <w:t>县农村饮水问题得到了一定的改善。农村自来水工程是一项社会公益性事业，是一项重大民生工程，事关广大农村居民的身体健康和生活质量，是农村基础设施的重要组成部分，是当前农村居民最关心、最直接、最现实利益的重大民生水利工程，被誉为“德政工程”、“民心工程”，推进城乡一体化供水和规模化集中供水是提高居民生活水平和维持社会稳定的重要举措。</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实施</w:t>
      </w:r>
      <w:r>
        <w:rPr>
          <w:rFonts w:hint="eastAsia" w:eastAsia="宋体" w:cs="宋体"/>
          <w:b/>
          <w:bCs/>
          <w:kern w:val="0"/>
          <w:sz w:val="24"/>
          <w:szCs w:val="24"/>
          <w:lang w:val="en-US" w:eastAsia="zh-CN"/>
        </w:rPr>
        <w:t>“</w:t>
      </w:r>
      <w:r>
        <w:rPr>
          <w:rFonts w:hint="default" w:ascii="宋体" w:hAnsi="宋体" w:eastAsia="宋体" w:cs="宋体"/>
          <w:b/>
          <w:bCs/>
          <w:kern w:val="0"/>
          <w:sz w:val="24"/>
          <w:szCs w:val="24"/>
          <w:lang w:val="en-US" w:eastAsia="zh-CN"/>
        </w:rPr>
        <w:t>城乡</w:t>
      </w:r>
      <w:r>
        <w:rPr>
          <w:rFonts w:hint="eastAsia" w:eastAsia="宋体" w:cs="宋体"/>
          <w:b/>
          <w:bCs/>
          <w:kern w:val="0"/>
          <w:sz w:val="24"/>
          <w:szCs w:val="24"/>
          <w:lang w:val="en-US" w:eastAsia="zh-CN"/>
        </w:rPr>
        <w:t>供水</w:t>
      </w:r>
      <w:r>
        <w:rPr>
          <w:rFonts w:hint="default" w:ascii="宋体" w:hAnsi="宋体" w:eastAsia="宋体" w:cs="宋体"/>
          <w:b/>
          <w:bCs/>
          <w:kern w:val="0"/>
          <w:sz w:val="24"/>
          <w:szCs w:val="24"/>
          <w:lang w:val="en-US" w:eastAsia="zh-CN"/>
        </w:rPr>
        <w:t>一体化</w:t>
      </w:r>
      <w:r>
        <w:rPr>
          <w:rFonts w:hint="eastAsia" w:eastAsia="宋体" w:cs="宋体"/>
          <w:b/>
          <w:bCs/>
          <w:kern w:val="0"/>
          <w:sz w:val="24"/>
          <w:szCs w:val="24"/>
          <w:lang w:val="en-US" w:eastAsia="zh-CN"/>
        </w:rPr>
        <w:t>工程”</w:t>
      </w:r>
      <w:r>
        <w:rPr>
          <w:rFonts w:hint="default" w:ascii="宋体" w:hAnsi="宋体" w:eastAsia="宋体" w:cs="宋体"/>
          <w:b/>
          <w:bCs/>
          <w:kern w:val="0"/>
          <w:sz w:val="24"/>
          <w:szCs w:val="24"/>
          <w:lang w:val="en-US" w:eastAsia="zh-CN"/>
        </w:rPr>
        <w:t>是整合优化供水资源的重要举措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由于缺乏统筹规划及其相适应的实施机制，</w:t>
      </w:r>
      <w:r>
        <w:rPr>
          <w:rFonts w:hint="eastAsia" w:ascii="宋体" w:hAnsi="宋体" w:eastAsia="宋体" w:cs="宋体"/>
          <w:sz w:val="24"/>
          <w:szCs w:val="24"/>
          <w:lang w:val="en-US" w:eastAsia="zh-CN"/>
        </w:rPr>
        <w:t>德安</w:t>
      </w:r>
      <w:r>
        <w:rPr>
          <w:rFonts w:hint="default" w:ascii="宋体" w:hAnsi="宋体" w:eastAsia="宋体" w:cs="宋体"/>
          <w:sz w:val="24"/>
          <w:szCs w:val="24"/>
          <w:lang w:val="en-US" w:eastAsia="zh-CN"/>
        </w:rPr>
        <w:t>县城乡供水相对独立、自成系统，水厂管理主体多样、工程建设和供水过程中各自为政。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多而散</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的供水格局造成供水基础设施设计能力得不到充分发挥，水量和水质得不到充分保证。以县城水厂为龙头、乡镇水厂为节点、连通干管为纽带，通过城市带动农村，实施城乡一体化供水和农村规模化集中供水，可以突破行政区域界</w:t>
      </w:r>
      <w:r>
        <w:rPr>
          <w:rFonts w:hint="eastAsia" w:ascii="宋体" w:hAnsi="宋体" w:eastAsia="宋体" w:cs="宋体"/>
          <w:sz w:val="24"/>
          <w:szCs w:val="24"/>
          <w:lang w:val="en-US" w:eastAsia="zh-CN"/>
        </w:rPr>
        <w:t>线</w:t>
      </w:r>
      <w:r>
        <w:rPr>
          <w:rFonts w:hint="default" w:ascii="宋体" w:hAnsi="宋体" w:eastAsia="宋体" w:cs="宋体"/>
          <w:sz w:val="24"/>
          <w:szCs w:val="24"/>
          <w:lang w:val="en-US" w:eastAsia="zh-CN"/>
        </w:rPr>
        <w:t>的束缚，有效解决水资源制约的问题；同时避免重复建设，整合优化供水资源，充分发挥建设资金的投资效益。</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ascii="宋体" w:hAnsi="宋体" w:eastAsia="宋体" w:cs="宋体"/>
          <w:b/>
          <w:bCs/>
          <w:kern w:val="0"/>
          <w:sz w:val="24"/>
          <w:szCs w:val="24"/>
          <w:lang w:val="en-US" w:eastAsia="zh-CN"/>
        </w:rPr>
      </w:pPr>
      <w:bookmarkStart w:id="37" w:name="_Toc15432"/>
      <w:bookmarkStart w:id="38" w:name="_Toc14229"/>
      <w:r>
        <w:rPr>
          <w:rFonts w:hint="eastAsia" w:ascii="宋体" w:hAnsi="宋体" w:eastAsia="宋体" w:cs="宋体"/>
          <w:b/>
          <w:bCs/>
          <w:kern w:val="0"/>
          <w:sz w:val="24"/>
          <w:szCs w:val="24"/>
          <w:lang w:val="en-US" w:eastAsia="zh-CN"/>
        </w:rPr>
        <w:t>实施</w:t>
      </w:r>
      <w:r>
        <w:rPr>
          <w:rFonts w:hint="eastAsia" w:eastAsia="宋体" w:cs="宋体"/>
          <w:b/>
          <w:bCs/>
          <w:kern w:val="0"/>
          <w:sz w:val="24"/>
          <w:szCs w:val="24"/>
          <w:lang w:val="en-US" w:eastAsia="zh-CN"/>
        </w:rPr>
        <w:t>“</w:t>
      </w:r>
      <w:r>
        <w:rPr>
          <w:rFonts w:hint="default" w:ascii="宋体" w:hAnsi="宋体" w:eastAsia="宋体" w:cs="宋体"/>
          <w:b/>
          <w:bCs/>
          <w:kern w:val="0"/>
          <w:sz w:val="24"/>
          <w:szCs w:val="24"/>
          <w:lang w:val="en-US" w:eastAsia="zh-CN"/>
        </w:rPr>
        <w:t>城乡</w:t>
      </w:r>
      <w:r>
        <w:rPr>
          <w:rFonts w:hint="eastAsia" w:eastAsia="宋体" w:cs="宋体"/>
          <w:b/>
          <w:bCs/>
          <w:kern w:val="0"/>
          <w:sz w:val="24"/>
          <w:szCs w:val="24"/>
          <w:lang w:val="en-US" w:eastAsia="zh-CN"/>
        </w:rPr>
        <w:t>供水</w:t>
      </w:r>
      <w:r>
        <w:rPr>
          <w:rFonts w:hint="default" w:ascii="宋体" w:hAnsi="宋体" w:eastAsia="宋体" w:cs="宋体"/>
          <w:b/>
          <w:bCs/>
          <w:kern w:val="0"/>
          <w:sz w:val="24"/>
          <w:szCs w:val="24"/>
          <w:lang w:val="en-US" w:eastAsia="zh-CN"/>
        </w:rPr>
        <w:t>一体化</w:t>
      </w:r>
      <w:r>
        <w:rPr>
          <w:rFonts w:hint="eastAsia" w:eastAsia="宋体" w:cs="宋体"/>
          <w:b/>
          <w:bCs/>
          <w:kern w:val="0"/>
          <w:sz w:val="24"/>
          <w:szCs w:val="24"/>
          <w:lang w:val="en-US" w:eastAsia="zh-CN"/>
        </w:rPr>
        <w:t>工程”</w:t>
      </w:r>
      <w:r>
        <w:rPr>
          <w:rFonts w:hint="eastAsia" w:ascii="宋体" w:hAnsi="宋体" w:eastAsia="宋体" w:cs="宋体"/>
          <w:b/>
          <w:bCs/>
          <w:kern w:val="0"/>
          <w:sz w:val="24"/>
          <w:szCs w:val="24"/>
          <w:lang w:val="en-US" w:eastAsia="zh-CN"/>
        </w:rPr>
        <w:t>是完善自来水供水系统自身的需要</w:t>
      </w:r>
    </w:p>
    <w:p>
      <w:pPr>
        <w:adjustRightInd/>
        <w:snapToGrid/>
        <w:ind w:firstLine="56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经过“十一五”、“十二五”以及“十三五”十余年的建设，德安县基本形成了“一大六小”七个自来水工程集中供水的格局，取得了非凡的成效，但是各工程本身也存在各自的问题，包括入户率仍有待提升，部分老旧管网需要进行改造，水源保证率提升以及水源地保护等诸多新的问题会出现。长效的水价定价体系以及管理体系，也需要在“十四五”期间有新的突破，因此，实施“城乡供水一体化工程”是十分必要的。</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ascii="宋体" w:hAnsi="宋体" w:eastAsia="宋体" w:cs="宋体"/>
          <w:sz w:val="24"/>
          <w:szCs w:val="24"/>
          <w:lang w:val="en-US" w:eastAsia="zh-CN"/>
        </w:rPr>
      </w:pPr>
      <w:r>
        <w:rPr>
          <w:rFonts w:hint="eastAsia" w:eastAsia="宋体" w:cs="宋体"/>
          <w:b/>
          <w:bCs/>
          <w:kern w:val="0"/>
          <w:sz w:val="24"/>
          <w:szCs w:val="24"/>
          <w:lang w:val="en-US" w:eastAsia="zh-CN"/>
        </w:rPr>
        <w:t>“</w:t>
      </w:r>
      <w:r>
        <w:rPr>
          <w:rFonts w:hint="default" w:ascii="宋体" w:hAnsi="宋体" w:eastAsia="宋体" w:cs="宋体"/>
          <w:b/>
          <w:bCs/>
          <w:kern w:val="0"/>
          <w:sz w:val="24"/>
          <w:szCs w:val="24"/>
          <w:lang w:val="en-US" w:eastAsia="zh-CN"/>
        </w:rPr>
        <w:t>城乡</w:t>
      </w:r>
      <w:r>
        <w:rPr>
          <w:rFonts w:hint="eastAsia" w:eastAsia="宋体" w:cs="宋体"/>
          <w:b/>
          <w:bCs/>
          <w:kern w:val="0"/>
          <w:sz w:val="24"/>
          <w:szCs w:val="24"/>
          <w:lang w:val="en-US" w:eastAsia="zh-CN"/>
        </w:rPr>
        <w:t>供水</w:t>
      </w:r>
      <w:r>
        <w:rPr>
          <w:rFonts w:hint="default" w:ascii="宋体" w:hAnsi="宋体" w:eastAsia="宋体" w:cs="宋体"/>
          <w:b/>
          <w:bCs/>
          <w:kern w:val="0"/>
          <w:sz w:val="24"/>
          <w:szCs w:val="24"/>
          <w:lang w:val="en-US" w:eastAsia="zh-CN"/>
        </w:rPr>
        <w:t>一体化</w:t>
      </w:r>
      <w:r>
        <w:rPr>
          <w:rFonts w:hint="eastAsia" w:eastAsia="宋体" w:cs="宋体"/>
          <w:b/>
          <w:bCs/>
          <w:kern w:val="0"/>
          <w:sz w:val="24"/>
          <w:szCs w:val="24"/>
          <w:lang w:val="en-US" w:eastAsia="zh-CN"/>
        </w:rPr>
        <w:t>工程”</w:t>
      </w:r>
      <w:r>
        <w:rPr>
          <w:rFonts w:hint="eastAsia" w:eastAsia="宋体" w:cs="宋体"/>
          <w:b/>
          <w:bCs/>
          <w:kern w:val="2"/>
          <w:sz w:val="24"/>
          <w:szCs w:val="24"/>
          <w:lang w:val="en-US" w:eastAsia="zh-CN" w:bidi="ar-SA"/>
        </w:rPr>
        <w:t>是</w:t>
      </w:r>
      <w:r>
        <w:rPr>
          <w:rFonts w:hint="eastAsia" w:ascii="宋体" w:hAnsi="宋体" w:eastAsia="宋体" w:cs="宋体"/>
          <w:b/>
          <w:bCs/>
          <w:kern w:val="2"/>
          <w:sz w:val="24"/>
          <w:szCs w:val="24"/>
          <w:lang w:val="en-US" w:eastAsia="zh-CN" w:bidi="ar-SA"/>
        </w:rPr>
        <w:t>乡村振兴战略</w:t>
      </w:r>
      <w:r>
        <w:rPr>
          <w:rFonts w:hint="eastAsia" w:eastAsia="宋体" w:cs="宋体"/>
          <w:b/>
          <w:bCs/>
          <w:kern w:val="2"/>
          <w:sz w:val="24"/>
          <w:szCs w:val="24"/>
          <w:lang w:val="en-US" w:eastAsia="zh-CN" w:bidi="ar-SA"/>
        </w:rPr>
        <w:t>的实施</w:t>
      </w:r>
    </w:p>
    <w:p>
      <w:pPr>
        <w:adjustRightInd/>
        <w:snapToGrid/>
        <w:ind w:firstLine="56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进入“十三五”以后，德安县逐步实施了一系列乡村振兴战略，包括高塘影视小镇以及义门陈特色小镇等。这些特色小镇将成为新的自来水用水大户，因此，在“十四五”期间需要根据实际的情况，对“城乡供水一体化工程”进行调整。</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1、高塘乡阳光微电影小镇</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资50亿元的华夏阳光（德安）诗画田园微电影小镇项目正式签约落户德安县。该项目由江苏阳光集团有限公司和华夏青旅（北京）文化发展有限公司共同投资，位于德安县高塘乡万亩花卉苗木基地，占地面积5600亩，主要开发微电影+国学文化、微电影+旅游、微电影+康养、微电影+创业创新、微电影+体育、微电影+新业态新经济体。项目分三期建设，项目建成后，预计文旅项目实现年产值3亿元，上缴税收2000万元，提供就业岗位500个。</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2、义门陈特色小镇</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义门陈”文化为核心，植入产业，利用影视这一先进传播方式，利用家族养老模式等多种方式进行义门陈特色小镇的打造。有着义门陈这一独特性、唯一性的特色小镇成功建设，将产生巨大的旅游效应，促进德安乃至九江经济的大发展，大提升，促进文化产业的大发展和大繁荣。</w:t>
      </w:r>
    </w:p>
    <w:p>
      <w:pPr>
        <w:adjustRightInd/>
        <w:snapToGrid/>
        <w:ind w:firstLine="56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该影视基地的建设宗旨，定位于中国古代民俗民居。义门陈被分为291庄，另管庄43庄，分布全国各地，在设计建设中，将334庄按分庄时御赐十二个派行分成12个区域。根据哥哥派行居住地风格，建设各具地方风格特色的厅区。</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eastAsia="宋体" w:cs="宋体"/>
          <w:b/>
          <w:bCs/>
          <w:kern w:val="2"/>
          <w:sz w:val="24"/>
          <w:szCs w:val="24"/>
          <w:lang w:val="en-US" w:eastAsia="zh-CN" w:bidi="ar-SA"/>
        </w:rPr>
      </w:pPr>
      <w:r>
        <w:rPr>
          <w:rFonts w:hint="eastAsia" w:eastAsia="宋体" w:cs="宋体"/>
          <w:b/>
          <w:bCs/>
          <w:kern w:val="0"/>
          <w:sz w:val="24"/>
          <w:szCs w:val="24"/>
          <w:lang w:val="en-US" w:eastAsia="zh-CN"/>
        </w:rPr>
        <w:t>“</w:t>
      </w:r>
      <w:r>
        <w:rPr>
          <w:rFonts w:hint="default" w:ascii="宋体" w:hAnsi="宋体" w:eastAsia="宋体" w:cs="宋体"/>
          <w:b/>
          <w:bCs/>
          <w:kern w:val="0"/>
          <w:sz w:val="24"/>
          <w:szCs w:val="24"/>
          <w:lang w:val="en-US" w:eastAsia="zh-CN"/>
        </w:rPr>
        <w:t>城乡</w:t>
      </w:r>
      <w:r>
        <w:rPr>
          <w:rFonts w:hint="eastAsia" w:eastAsia="宋体" w:cs="宋体"/>
          <w:b/>
          <w:bCs/>
          <w:kern w:val="0"/>
          <w:sz w:val="24"/>
          <w:szCs w:val="24"/>
          <w:lang w:val="en-US" w:eastAsia="zh-CN"/>
        </w:rPr>
        <w:t>供水</w:t>
      </w:r>
      <w:r>
        <w:rPr>
          <w:rFonts w:hint="default" w:ascii="宋体" w:hAnsi="宋体" w:eastAsia="宋体" w:cs="宋体"/>
          <w:b/>
          <w:bCs/>
          <w:kern w:val="0"/>
          <w:sz w:val="24"/>
          <w:szCs w:val="24"/>
          <w:lang w:val="en-US" w:eastAsia="zh-CN"/>
        </w:rPr>
        <w:t>一体化</w:t>
      </w:r>
      <w:r>
        <w:rPr>
          <w:rFonts w:hint="eastAsia" w:eastAsia="宋体" w:cs="宋体"/>
          <w:b/>
          <w:bCs/>
          <w:kern w:val="0"/>
          <w:sz w:val="24"/>
          <w:szCs w:val="24"/>
          <w:lang w:val="en-US" w:eastAsia="zh-CN"/>
        </w:rPr>
        <w:t>工程”</w:t>
      </w:r>
      <w:r>
        <w:rPr>
          <w:rFonts w:hint="eastAsia" w:eastAsia="宋体" w:cs="宋体"/>
          <w:b/>
          <w:bCs/>
          <w:kern w:val="2"/>
          <w:sz w:val="24"/>
          <w:szCs w:val="24"/>
          <w:lang w:val="en-US" w:eastAsia="zh-CN" w:bidi="ar-SA"/>
        </w:rPr>
        <w:t>是产业发展布局的需要</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为加快农村地区的发展，利用本地的资源优势，德安县引入了万年青水泥厂，新的产业布局需要新的供水规划与之相匹配。</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2017年，12月26日，记者从德安县万年青高新产业园项目建设情况新闻发布会上获悉，德安县万年青高新产业园是德安县委、县政府与江西建材集团签订的工业项目，建设主体为江西德安</w:t>
      </w:r>
      <w:r>
        <w:rPr>
          <w:rFonts w:hint="eastAsia" w:ascii="宋体" w:hAnsi="宋体" w:eastAsia="宋体" w:cs="宋体"/>
          <w:color w:val="auto"/>
          <w:sz w:val="24"/>
          <w:szCs w:val="24"/>
          <w:u w:val="none"/>
          <w:lang w:val="en-US" w:eastAsia="zh-CN"/>
        </w:rPr>
        <w:t>万年青水泥</w:t>
      </w:r>
      <w:r>
        <w:rPr>
          <w:rFonts w:hint="eastAsia" w:ascii="宋体" w:hAnsi="宋体" w:eastAsia="宋体" w:cs="宋体"/>
          <w:sz w:val="24"/>
          <w:szCs w:val="24"/>
          <w:lang w:val="en-US" w:eastAsia="zh-CN"/>
        </w:rPr>
        <w:t>有限公司(以下简称德安万年青)，系省属国有企业省建材集团控股企业江西万年青水泥股份有限公司(以下简称江西万年青)的全资子公司。为优化产业布局，实现水泥产能提质升级，江西省政府已批复德安万年青水泥产能置换方案，同意德安万年青在德安县高标准高起点建设每日6600吨</w:t>
      </w:r>
      <w:r>
        <w:rPr>
          <w:rFonts w:hint="eastAsia" w:ascii="宋体" w:hAnsi="宋体" w:eastAsia="宋体" w:cs="宋体"/>
          <w:color w:val="auto"/>
          <w:sz w:val="24"/>
          <w:szCs w:val="24"/>
          <w:u w:val="none"/>
          <w:lang w:val="en-US" w:eastAsia="zh-CN"/>
        </w:rPr>
        <w:t>熟料</w:t>
      </w:r>
      <w:r>
        <w:rPr>
          <w:rFonts w:hint="eastAsia" w:ascii="宋体" w:hAnsi="宋体" w:eastAsia="宋体" w:cs="宋体"/>
          <w:sz w:val="24"/>
          <w:szCs w:val="24"/>
          <w:lang w:val="en-US" w:eastAsia="zh-CN"/>
        </w:rPr>
        <w:t>新型干法水泥节能环保生产线，并配套12MW余热发电工程项目。</w:t>
      </w:r>
    </w:p>
    <w:p>
      <w:pPr>
        <w:adjustRightInd/>
        <w:snapToGrid/>
        <w:ind w:firstLine="560"/>
      </w:pPr>
      <w:r>
        <w:rPr>
          <w:rFonts w:hint="eastAsia" w:ascii="宋体" w:hAnsi="宋体" w:eastAsia="宋体" w:cs="宋体"/>
          <w:kern w:val="2"/>
          <w:sz w:val="24"/>
          <w:szCs w:val="24"/>
          <w:lang w:val="en-US" w:eastAsia="zh-CN" w:bidi="ar-SA"/>
        </w:rPr>
        <w:t xml:space="preserve">厂区选址以丘陵山地为主，主厂区距最近的村庄(洪村)435米。在项目推进过程中，德安县委、县政府已安排有关职能部门全程介入，督促项目建设方注重对当地人文和生态环境的保护。同时，德安县水务部门将深入矿区周边进行水系影响调查，确保当地群众生产、生活用水供给。 </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eastAsia="宋体" w:cs="宋体"/>
          <w:b/>
          <w:bCs/>
          <w:kern w:val="2"/>
          <w:sz w:val="24"/>
          <w:szCs w:val="24"/>
          <w:lang w:val="en-US" w:eastAsia="zh-CN" w:bidi="ar-SA"/>
        </w:rPr>
      </w:pPr>
      <w:r>
        <w:rPr>
          <w:rFonts w:hint="eastAsia" w:eastAsia="宋体" w:cs="宋体"/>
          <w:b/>
          <w:bCs/>
          <w:kern w:val="0"/>
          <w:sz w:val="24"/>
          <w:szCs w:val="24"/>
          <w:lang w:val="en-US" w:eastAsia="zh-CN"/>
        </w:rPr>
        <w:t>“</w:t>
      </w:r>
      <w:r>
        <w:rPr>
          <w:rFonts w:hint="default" w:ascii="宋体" w:hAnsi="宋体" w:eastAsia="宋体" w:cs="宋体"/>
          <w:b/>
          <w:bCs/>
          <w:kern w:val="0"/>
          <w:sz w:val="24"/>
          <w:szCs w:val="24"/>
          <w:lang w:val="en-US" w:eastAsia="zh-CN"/>
        </w:rPr>
        <w:t>城乡</w:t>
      </w:r>
      <w:r>
        <w:rPr>
          <w:rFonts w:hint="eastAsia" w:eastAsia="宋体" w:cs="宋体"/>
          <w:b/>
          <w:bCs/>
          <w:kern w:val="0"/>
          <w:sz w:val="24"/>
          <w:szCs w:val="24"/>
          <w:lang w:val="en-US" w:eastAsia="zh-CN"/>
        </w:rPr>
        <w:t>供水</w:t>
      </w:r>
      <w:r>
        <w:rPr>
          <w:rFonts w:hint="default" w:ascii="宋体" w:hAnsi="宋体" w:eastAsia="宋体" w:cs="宋体"/>
          <w:b/>
          <w:bCs/>
          <w:kern w:val="0"/>
          <w:sz w:val="24"/>
          <w:szCs w:val="24"/>
          <w:lang w:val="en-US" w:eastAsia="zh-CN"/>
        </w:rPr>
        <w:t>一体化</w:t>
      </w:r>
      <w:r>
        <w:rPr>
          <w:rFonts w:hint="eastAsia" w:eastAsia="宋体" w:cs="宋体"/>
          <w:b/>
          <w:bCs/>
          <w:kern w:val="0"/>
          <w:sz w:val="24"/>
          <w:szCs w:val="24"/>
          <w:lang w:val="en-US" w:eastAsia="zh-CN"/>
        </w:rPr>
        <w:t>工程”</w:t>
      </w:r>
      <w:r>
        <w:rPr>
          <w:rFonts w:hint="eastAsia" w:eastAsia="宋体" w:cs="宋体"/>
          <w:b/>
          <w:bCs/>
          <w:kern w:val="2"/>
          <w:sz w:val="24"/>
          <w:szCs w:val="24"/>
          <w:lang w:val="en-US" w:eastAsia="zh-CN" w:bidi="ar-SA"/>
        </w:rPr>
        <w:t>是新时代科技发展的需要</w:t>
      </w:r>
    </w:p>
    <w:p>
      <w:pPr>
        <w:adjustRightInd/>
        <w:snapToGrid/>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新时代，对管理的要求也越来越高，对水资源的保护也提出了更高的要求，除了水源地保护、节约用水外，还需要注重管网漏损，事故的及时维修，快速响应，以减少水资源的浪费；而现有管理无法实现“水源-水厂-配水管网”全流程的在线监控，为了适应新时代的要求，实施城乡供水一体化工程是十分必要的。</w:t>
      </w:r>
    </w:p>
    <w:p>
      <w:pPr>
        <w:adjustRightInd/>
        <w:snapToGrid/>
        <w:ind w:firstLine="560"/>
        <w:rPr>
          <w:rFonts w:hint="eastAsia" w:ascii="宋体" w:hAnsi="宋体" w:eastAsia="宋体" w:cs="宋体"/>
          <w:color w:val="auto"/>
          <w:sz w:val="24"/>
          <w:szCs w:val="24"/>
          <w:lang w:val="en-US" w:eastAsia="zh-CN"/>
        </w:rPr>
      </w:pPr>
    </w:p>
    <w:p>
      <w:pPr>
        <w:adjustRightInd/>
        <w:snapToGrid/>
        <w:ind w:firstLine="560"/>
        <w:rPr>
          <w:rFonts w:hint="eastAsia" w:ascii="Times New Roman" w:hAnsi="Times New Roman" w:eastAsia="仿宋"/>
          <w:sz w:val="28"/>
          <w:szCs w:val="28"/>
          <w:lang w:val="en-US" w:eastAsia="zh-CN"/>
        </w:rPr>
      </w:pP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sz w:val="28"/>
          <w:szCs w:val="40"/>
        </w:rPr>
      </w:pPr>
      <w:r>
        <w:rPr>
          <w:rFonts w:hint="eastAsia"/>
          <w:sz w:val="28"/>
          <w:szCs w:val="40"/>
        </w:rPr>
        <w:br w:type="page"/>
      </w:r>
      <w:bookmarkEnd w:id="37"/>
      <w:bookmarkEnd w:id="38"/>
      <w:bookmarkStart w:id="39" w:name="_Toc28879"/>
      <w:bookmarkStart w:id="40" w:name="_Toc24715"/>
      <w:r>
        <w:rPr>
          <w:rFonts w:hint="eastAsia" w:ascii="黑体" w:eastAsia="黑体"/>
          <w:b/>
          <w:bCs/>
          <w:sz w:val="28"/>
          <w:szCs w:val="28"/>
          <w:lang w:val="en-US" w:eastAsia="zh-CN"/>
        </w:rPr>
        <w:t xml:space="preserve"> </w:t>
      </w:r>
      <w:bookmarkEnd w:id="39"/>
      <w:bookmarkEnd w:id="40"/>
      <w:bookmarkStart w:id="41" w:name="_Toc14073"/>
      <w:r>
        <w:rPr>
          <w:rFonts w:ascii="黑体" w:eastAsia="黑体"/>
          <w:b/>
          <w:bCs/>
          <w:sz w:val="28"/>
          <w:szCs w:val="28"/>
        </w:rPr>
        <w:t>规划指导思想与目标任务</w:t>
      </w:r>
      <w:bookmarkEnd w:id="41"/>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kern w:val="2"/>
          <w:sz w:val="24"/>
          <w:szCs w:val="24"/>
        </w:rPr>
      </w:pPr>
      <w:bookmarkStart w:id="42" w:name="_Toc12617"/>
      <w:bookmarkStart w:id="43" w:name="_Toc1893"/>
      <w:bookmarkStart w:id="44" w:name="_Toc7474"/>
      <w:r>
        <w:rPr>
          <w:rFonts w:hint="eastAsia" w:ascii="宋体" w:hAnsi="宋体" w:eastAsia="宋体" w:cs="宋体"/>
          <w:kern w:val="2"/>
          <w:sz w:val="24"/>
          <w:szCs w:val="24"/>
        </w:rPr>
        <w:t>规划编制依据</w:t>
      </w:r>
      <w:bookmarkEnd w:id="42"/>
      <w:bookmarkEnd w:id="43"/>
      <w:bookmarkEnd w:id="44"/>
    </w:p>
    <w:p>
      <w:pPr>
        <w:keepNext/>
        <w:keepLines/>
        <w:widowControl w:val="0"/>
        <w:numPr>
          <w:ilvl w:val="2"/>
          <w:numId w:val="1"/>
        </w:numPr>
        <w:spacing w:line="360" w:lineRule="auto"/>
        <w:jc w:val="both"/>
        <w:outlineLvl w:val="2"/>
        <w:rPr>
          <w:rFonts w:hint="eastAsia" w:ascii="宋体" w:hAnsi="宋体" w:eastAsia="宋体" w:cs="宋体"/>
          <w:b/>
          <w:spacing w:val="2"/>
          <w:kern w:val="0"/>
          <w:sz w:val="24"/>
          <w:szCs w:val="24"/>
        </w:rPr>
      </w:pPr>
      <w:r>
        <w:rPr>
          <w:rFonts w:hint="eastAsia" w:ascii="宋体" w:hAnsi="宋体" w:eastAsia="宋体" w:cs="宋体"/>
          <w:b/>
          <w:spacing w:val="2"/>
          <w:kern w:val="0"/>
          <w:sz w:val="24"/>
          <w:szCs w:val="24"/>
        </w:rPr>
        <w:t>政策性文件</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w:t>
      </w:r>
      <w:r>
        <w:rPr>
          <w:rFonts w:hint="eastAsia" w:ascii="宋体" w:hAnsi="宋体" w:eastAsia="宋体" w:cs="宋体"/>
          <w:sz w:val="24"/>
          <w:szCs w:val="24"/>
        </w:rPr>
        <w:t>《中共中央</w:t>
      </w:r>
      <w:r>
        <w:rPr>
          <w:rFonts w:hint="eastAsia" w:ascii="宋体" w:hAnsi="宋体" w:cs="宋体"/>
          <w:sz w:val="24"/>
          <w:szCs w:val="24"/>
          <w:lang w:val="en-US" w:eastAsia="zh-CN"/>
        </w:rPr>
        <w:t xml:space="preserve"> </w:t>
      </w:r>
      <w:r>
        <w:rPr>
          <w:rFonts w:hint="eastAsia" w:ascii="宋体" w:hAnsi="宋体" w:eastAsia="宋体" w:cs="宋体"/>
          <w:sz w:val="24"/>
          <w:szCs w:val="24"/>
        </w:rPr>
        <w:t>国务院关于实施乡村振兴战略的意见》（中发〔2018〕1号）</w:t>
      </w:r>
    </w:p>
    <w:p>
      <w:pPr>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2、《国务院办公厅关于创新农村基础设施投融资体制机制的指导意见》（国办发〔2017〕17号）</w:t>
      </w:r>
    </w:p>
    <w:p>
      <w:pPr>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pacing w:val="2"/>
          <w:kern w:val="0"/>
          <w:sz w:val="24"/>
          <w:szCs w:val="24"/>
        </w:rPr>
        <w:t>《水利部关于建立农村饮水安全管理责任体系的通知》（水农</w:t>
      </w:r>
      <w:r>
        <w:rPr>
          <w:rFonts w:hint="eastAsia" w:ascii="宋体" w:hAnsi="宋体" w:eastAsia="宋体" w:cs="宋体"/>
          <w:sz w:val="24"/>
          <w:szCs w:val="24"/>
        </w:rPr>
        <w:t>〔2019〕</w:t>
      </w:r>
      <w:r>
        <w:rPr>
          <w:rFonts w:hint="eastAsia" w:ascii="宋体" w:hAnsi="宋体" w:eastAsia="宋体" w:cs="宋体"/>
          <w:spacing w:val="2"/>
          <w:kern w:val="0"/>
          <w:sz w:val="24"/>
          <w:szCs w:val="24"/>
        </w:rPr>
        <w:t>2号）</w:t>
      </w:r>
    </w:p>
    <w:p>
      <w:pPr>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pacing w:val="2"/>
          <w:kern w:val="0"/>
          <w:sz w:val="24"/>
          <w:szCs w:val="24"/>
        </w:rPr>
        <w:t>《水利部关于推进农村供水工程规范化建设的指导意见》（水农</w:t>
      </w:r>
      <w:r>
        <w:rPr>
          <w:rFonts w:hint="eastAsia" w:ascii="宋体" w:hAnsi="宋体" w:eastAsia="宋体" w:cs="宋体"/>
          <w:sz w:val="24"/>
          <w:szCs w:val="24"/>
        </w:rPr>
        <w:t>〔2019〕</w:t>
      </w:r>
      <w:r>
        <w:rPr>
          <w:rFonts w:hint="eastAsia" w:ascii="宋体" w:hAnsi="宋体" w:eastAsia="宋体" w:cs="宋体"/>
          <w:spacing w:val="2"/>
          <w:kern w:val="0"/>
          <w:sz w:val="24"/>
          <w:szCs w:val="24"/>
        </w:rPr>
        <w:t>150号）</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5、</w:t>
      </w:r>
      <w:r>
        <w:rPr>
          <w:rFonts w:hint="eastAsia" w:ascii="宋体" w:hAnsi="宋体" w:eastAsia="宋体" w:cs="宋体"/>
          <w:sz w:val="24"/>
          <w:szCs w:val="24"/>
        </w:rPr>
        <w:t>《关于推进乡镇及以下集中式饮用水源地生态环境保护工作的指导意见》（环水体函〔2019〕92号）</w:t>
      </w:r>
    </w:p>
    <w:p>
      <w:pPr>
        <w:pStyle w:val="64"/>
        <w:spacing w:line="360" w:lineRule="auto"/>
        <w:ind w:firstLine="488" w:firstLineChars="200"/>
        <w:rPr>
          <w:rFonts w:hint="eastAsia" w:ascii="宋体" w:hAnsi="宋体" w:eastAsia="宋体" w:cs="宋体"/>
          <w:sz w:val="24"/>
          <w:szCs w:val="24"/>
        </w:rPr>
      </w:pPr>
      <w:r>
        <w:rPr>
          <w:rFonts w:hint="eastAsia" w:ascii="宋体" w:hAnsi="宋体" w:eastAsia="宋体" w:cs="宋体"/>
          <w:spacing w:val="2"/>
          <w:kern w:val="0"/>
          <w:sz w:val="24"/>
          <w:szCs w:val="24"/>
        </w:rPr>
        <w:t>6、</w:t>
      </w:r>
      <w:r>
        <w:rPr>
          <w:rFonts w:hint="eastAsia" w:ascii="宋体" w:hAnsi="宋体" w:eastAsia="宋体" w:cs="宋体"/>
          <w:sz w:val="24"/>
          <w:szCs w:val="24"/>
        </w:rPr>
        <w:t>《水利部办公厅关于加快推进农村供水工程水费收缴工作的通知》（办农水〔2019〕210号）</w:t>
      </w:r>
    </w:p>
    <w:p>
      <w:pPr>
        <w:pStyle w:val="6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7、《深化农村公共基础设施管护体制改革的指导意见》（赣发改农经〔2019〕102号）</w:t>
      </w:r>
    </w:p>
    <w:p>
      <w:pPr>
        <w:pStyle w:val="64"/>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8、《江西省人民政府关于全面推行城乡供水一体化的指导意见》（赣府发【2020】10号）</w:t>
      </w:r>
    </w:p>
    <w:p>
      <w:pPr>
        <w:keepNext/>
        <w:keepLines/>
        <w:widowControl w:val="0"/>
        <w:numPr>
          <w:ilvl w:val="2"/>
          <w:numId w:val="1"/>
        </w:numPr>
        <w:spacing w:line="360" w:lineRule="auto"/>
        <w:jc w:val="both"/>
        <w:outlineLvl w:val="2"/>
        <w:rPr>
          <w:rFonts w:hint="eastAsia" w:ascii="宋体" w:hAnsi="宋体" w:eastAsia="宋体" w:cs="宋体"/>
          <w:b/>
          <w:spacing w:val="2"/>
          <w:kern w:val="0"/>
          <w:sz w:val="24"/>
          <w:szCs w:val="24"/>
        </w:rPr>
      </w:pPr>
      <w:r>
        <w:rPr>
          <w:rFonts w:hint="eastAsia" w:ascii="宋体" w:hAnsi="宋体" w:eastAsia="宋体" w:cs="宋体"/>
          <w:b/>
          <w:spacing w:val="2"/>
          <w:kern w:val="0"/>
          <w:sz w:val="24"/>
          <w:szCs w:val="24"/>
        </w:rPr>
        <w:t>规程、规范、标准</w:t>
      </w:r>
    </w:p>
    <w:p>
      <w:pPr>
        <w:adjustRightInd/>
        <w:snapToGrid/>
        <w:spacing w:line="360" w:lineRule="auto"/>
        <w:ind w:firstLine="568"/>
        <w:rPr>
          <w:rFonts w:hint="eastAsia" w:ascii="宋体" w:hAnsi="宋体" w:eastAsia="宋体" w:cs="宋体"/>
          <w:sz w:val="24"/>
          <w:szCs w:val="24"/>
        </w:rPr>
      </w:pPr>
      <w:r>
        <w:rPr>
          <w:rFonts w:hint="eastAsia" w:ascii="宋体" w:hAnsi="宋体" w:eastAsia="宋体" w:cs="宋体"/>
          <w:spacing w:val="2"/>
          <w:kern w:val="0"/>
          <w:sz w:val="24"/>
          <w:szCs w:val="24"/>
        </w:rPr>
        <w:t>1、</w:t>
      </w:r>
      <w:r>
        <w:rPr>
          <w:rFonts w:hint="eastAsia" w:ascii="宋体" w:hAnsi="宋体" w:eastAsia="宋体" w:cs="宋体"/>
          <w:sz w:val="24"/>
          <w:szCs w:val="24"/>
        </w:rPr>
        <w:t>《农村饮水安全评价准则》（T/CHES 18-2018）</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2、《生活饮用水卫生标准》（GB5749-2006）</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3、《室外给水设计规范》（GB 50013-2018）</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4、《地表水环境质量标准》（GB3838-2002）</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5、《地下水质量标准》（GB/T14848-2017）</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6、《生产建设项目水土保持技术标准》（GB50433-2018）</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7、《村镇供水工程设计规范》（SL687-2014）</w:t>
      </w:r>
    </w:p>
    <w:p>
      <w:pPr>
        <w:pStyle w:val="64"/>
        <w:spacing w:line="360" w:lineRule="auto"/>
        <w:ind w:firstLine="480" w:firstLineChars="200"/>
        <w:rPr>
          <w:rFonts w:hint="eastAsia" w:ascii="宋体" w:hAnsi="宋体" w:eastAsia="宋体" w:cs="宋体"/>
          <w:spacing w:val="2"/>
          <w:kern w:val="0"/>
          <w:sz w:val="24"/>
          <w:szCs w:val="24"/>
        </w:rPr>
      </w:pPr>
      <w:r>
        <w:rPr>
          <w:rFonts w:hint="eastAsia" w:ascii="宋体" w:hAnsi="宋体" w:eastAsia="宋体" w:cs="宋体"/>
          <w:sz w:val="24"/>
          <w:szCs w:val="24"/>
        </w:rPr>
        <w:t>8、《村镇供水工程技术规范》（SL310-2019）</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9、《水利建设项目经济评价规范》（SL72-2013）</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10、《水环境监测规范》（SL219-2013）</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11、《建设项目水资源论证导则》（GB/T35580-2017）</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12、《村镇供水工程运行管理规程》（SL689-2013）</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13、《饮用水水源保护区划分技术规范》（HJ/T 338-2018）</w:t>
      </w:r>
    </w:p>
    <w:p>
      <w:pPr>
        <w:adjustRightInd/>
        <w:snapToGrid/>
        <w:spacing w:line="360" w:lineRule="auto"/>
        <w:ind w:firstLine="568"/>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14、《饮用水水源保护区标志技术要求》（HJ/T 433-2008）</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15、《集中式饮用水水源编码规范》（HJ 747-2015）</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16、其它相关规程、规范、标准等。</w:t>
      </w:r>
    </w:p>
    <w:p>
      <w:pPr>
        <w:keepNext/>
        <w:keepLines/>
        <w:widowControl w:val="0"/>
        <w:numPr>
          <w:ilvl w:val="2"/>
          <w:numId w:val="1"/>
        </w:numPr>
        <w:spacing w:line="360" w:lineRule="auto"/>
        <w:jc w:val="both"/>
        <w:outlineLvl w:val="2"/>
        <w:rPr>
          <w:rFonts w:hint="eastAsia" w:ascii="宋体" w:hAnsi="宋体" w:eastAsia="宋体" w:cs="宋体"/>
          <w:b/>
          <w:spacing w:val="2"/>
          <w:kern w:val="0"/>
          <w:sz w:val="24"/>
          <w:szCs w:val="24"/>
        </w:rPr>
      </w:pPr>
      <w:r>
        <w:rPr>
          <w:rFonts w:hint="eastAsia" w:ascii="宋体" w:hAnsi="宋体" w:eastAsia="宋体" w:cs="宋体"/>
          <w:b/>
          <w:spacing w:val="2"/>
          <w:kern w:val="0"/>
          <w:sz w:val="24"/>
          <w:szCs w:val="24"/>
        </w:rPr>
        <w:t>相关规划成果</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1、</w:t>
      </w:r>
      <w:r>
        <w:rPr>
          <w:rFonts w:hint="eastAsia" w:ascii="宋体" w:hAnsi="宋体" w:eastAsia="宋体" w:cs="宋体"/>
          <w:sz w:val="24"/>
          <w:szCs w:val="24"/>
        </w:rPr>
        <w:t>《江西省乡村振兴战略规划（2018-2022年）》</w:t>
      </w:r>
      <w:r>
        <w:rPr>
          <w:rFonts w:hint="eastAsia" w:ascii="宋体" w:hAnsi="宋体" w:eastAsia="宋体" w:cs="宋体"/>
          <w:spacing w:val="2"/>
          <w:kern w:val="0"/>
          <w:sz w:val="24"/>
          <w:szCs w:val="24"/>
        </w:rPr>
        <w:t>（2018年）</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2、《江西省水资源综合规划》（2010年）</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3、《江西省</w:t>
      </w:r>
      <w:r>
        <w:rPr>
          <w:rFonts w:hint="eastAsia" w:ascii="宋体" w:hAnsi="宋体" w:cs="宋体"/>
          <w:spacing w:val="2"/>
          <w:kern w:val="0"/>
          <w:sz w:val="24"/>
          <w:szCs w:val="24"/>
          <w:lang w:val="en-US" w:eastAsia="zh-CN"/>
        </w:rPr>
        <w:t>德安县</w:t>
      </w:r>
      <w:r>
        <w:rPr>
          <w:rFonts w:hint="eastAsia" w:ascii="宋体" w:hAnsi="宋体" w:eastAsia="宋体" w:cs="宋体"/>
          <w:spacing w:val="2"/>
          <w:kern w:val="0"/>
          <w:sz w:val="24"/>
          <w:szCs w:val="24"/>
        </w:rPr>
        <w:t>农村自来水工程规划报告》（2013年）</w:t>
      </w:r>
    </w:p>
    <w:p>
      <w:pPr>
        <w:pStyle w:val="64"/>
        <w:spacing w:line="360" w:lineRule="auto"/>
        <w:ind w:firstLine="488" w:firstLineChars="200"/>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4、《江西省</w:t>
      </w:r>
      <w:r>
        <w:rPr>
          <w:rFonts w:hint="eastAsia" w:ascii="宋体" w:hAnsi="宋体" w:cs="宋体"/>
          <w:spacing w:val="2"/>
          <w:kern w:val="0"/>
          <w:sz w:val="24"/>
          <w:szCs w:val="24"/>
          <w:lang w:val="en-US" w:eastAsia="zh-CN"/>
        </w:rPr>
        <w:t>德安县</w:t>
      </w:r>
      <w:r>
        <w:rPr>
          <w:rFonts w:hint="eastAsia" w:ascii="宋体" w:hAnsi="宋体" w:eastAsia="宋体" w:cs="宋体"/>
          <w:spacing w:val="2"/>
          <w:kern w:val="0"/>
          <w:sz w:val="24"/>
          <w:szCs w:val="24"/>
        </w:rPr>
        <w:t>农村饮水安全巩固提升工程</w:t>
      </w:r>
      <w:r>
        <w:rPr>
          <w:rFonts w:hint="eastAsia" w:ascii="宋体" w:hAnsi="宋体" w:cs="宋体"/>
          <w:spacing w:val="2"/>
          <w:kern w:val="0"/>
          <w:sz w:val="24"/>
          <w:szCs w:val="24"/>
          <w:lang w:eastAsia="zh-CN"/>
        </w:rPr>
        <w:t>“十三五”</w:t>
      </w:r>
      <w:r>
        <w:rPr>
          <w:rFonts w:hint="eastAsia" w:ascii="宋体" w:hAnsi="宋体" w:eastAsia="宋体" w:cs="宋体"/>
          <w:spacing w:val="2"/>
          <w:kern w:val="0"/>
          <w:sz w:val="24"/>
          <w:szCs w:val="24"/>
        </w:rPr>
        <w:t>规划》（2016年）</w:t>
      </w:r>
    </w:p>
    <w:p>
      <w:pPr>
        <w:adjustRightInd/>
        <w:snapToGrid/>
        <w:spacing w:line="360" w:lineRule="auto"/>
        <w:ind w:firstLine="568"/>
        <w:rPr>
          <w:rFonts w:hint="eastAsia" w:ascii="宋体" w:hAnsi="宋体" w:eastAsia="宋体" w:cs="宋体"/>
          <w:b/>
          <w:bCs/>
          <w:kern w:val="2"/>
          <w:sz w:val="24"/>
          <w:szCs w:val="24"/>
        </w:rPr>
      </w:pPr>
      <w:r>
        <w:rPr>
          <w:rFonts w:hint="eastAsia" w:ascii="宋体" w:hAnsi="宋体" w:eastAsia="宋体" w:cs="宋体"/>
          <w:spacing w:val="2"/>
          <w:kern w:val="0"/>
          <w:sz w:val="24"/>
          <w:szCs w:val="24"/>
        </w:rPr>
        <w:t>5、其它相关技术成果等。</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rPr>
      </w:pPr>
      <w:bookmarkStart w:id="45" w:name="_Toc14599"/>
      <w:bookmarkStart w:id="46" w:name="_Toc17875"/>
      <w:bookmarkStart w:id="47" w:name="_Toc21752"/>
      <w:bookmarkStart w:id="48" w:name="_Toc7564"/>
      <w:r>
        <w:rPr>
          <w:rFonts w:hint="default" w:ascii="宋体" w:hAnsi="宋体" w:eastAsia="宋体" w:cs="宋体"/>
          <w:b/>
          <w:bCs/>
          <w:kern w:val="2"/>
          <w:sz w:val="24"/>
          <w:szCs w:val="24"/>
        </w:rPr>
        <w:t>规划</w:t>
      </w:r>
      <w:r>
        <w:rPr>
          <w:rFonts w:hint="default" w:ascii="宋体" w:hAnsi="宋体" w:eastAsia="宋体" w:cs="宋体"/>
          <w:b/>
          <w:bCs/>
          <w:kern w:val="2"/>
          <w:sz w:val="24"/>
          <w:szCs w:val="24"/>
          <w:lang w:val="en-US" w:eastAsia="zh-CN"/>
        </w:rPr>
        <w:t>范围与</w:t>
      </w:r>
      <w:r>
        <w:rPr>
          <w:rFonts w:hint="eastAsia" w:eastAsia="宋体" w:cs="宋体"/>
          <w:b/>
          <w:bCs/>
          <w:kern w:val="2"/>
          <w:sz w:val="24"/>
          <w:szCs w:val="24"/>
          <w:lang w:val="en-US" w:eastAsia="zh-CN"/>
        </w:rPr>
        <w:t>规划</w:t>
      </w:r>
      <w:r>
        <w:rPr>
          <w:rFonts w:hint="default" w:ascii="宋体" w:hAnsi="宋体" w:eastAsia="宋体" w:cs="宋体"/>
          <w:b/>
          <w:bCs/>
          <w:kern w:val="2"/>
          <w:sz w:val="24"/>
          <w:szCs w:val="24"/>
          <w:lang w:val="en-US" w:eastAsia="zh-CN"/>
        </w:rPr>
        <w:t>水平年</w:t>
      </w:r>
      <w:bookmarkEnd w:id="45"/>
      <w:bookmarkEnd w:id="46"/>
    </w:p>
    <w:p>
      <w:pPr>
        <w:keepNext/>
        <w:keepLines/>
        <w:widowControl w:val="0"/>
        <w:numPr>
          <w:ilvl w:val="2"/>
          <w:numId w:val="1"/>
        </w:numPr>
        <w:spacing w:line="360" w:lineRule="auto"/>
        <w:jc w:val="both"/>
        <w:outlineLvl w:val="2"/>
        <w:rPr>
          <w:rFonts w:hint="eastAsia" w:ascii="宋体" w:hAnsi="宋体" w:eastAsia="宋体" w:cs="宋体"/>
          <w:b/>
          <w:spacing w:val="2"/>
          <w:kern w:val="0"/>
          <w:sz w:val="24"/>
          <w:szCs w:val="24"/>
        </w:rPr>
      </w:pPr>
      <w:r>
        <w:rPr>
          <w:rFonts w:hint="eastAsia" w:ascii="宋体" w:hAnsi="宋体" w:eastAsia="宋体" w:cs="宋体"/>
          <w:b/>
          <w:spacing w:val="2"/>
          <w:kern w:val="0"/>
          <w:sz w:val="24"/>
          <w:szCs w:val="24"/>
        </w:rPr>
        <w:t xml:space="preserve"> </w:t>
      </w:r>
      <w:bookmarkStart w:id="49" w:name="_Toc6229"/>
      <w:bookmarkStart w:id="50" w:name="_Toc24082"/>
      <w:r>
        <w:rPr>
          <w:rFonts w:hint="eastAsia" w:ascii="宋体" w:hAnsi="宋体" w:eastAsia="宋体" w:cs="宋体"/>
          <w:b/>
          <w:spacing w:val="2"/>
          <w:kern w:val="0"/>
          <w:sz w:val="24"/>
          <w:szCs w:val="24"/>
        </w:rPr>
        <w:t>规划范围</w:t>
      </w:r>
      <w:bookmarkEnd w:id="49"/>
      <w:bookmarkEnd w:id="50"/>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根据《关于全面推行城乡供水一体化的指导意见》（赣府发〔2020〕10 号）要求：</w:t>
      </w:r>
      <w:r>
        <w:rPr>
          <w:rFonts w:hint="eastAsia" w:ascii="宋体" w:hAnsi="宋体" w:eastAsia="宋体" w:cs="宋体"/>
          <w:color w:val="auto"/>
          <w:sz w:val="24"/>
          <w:szCs w:val="24"/>
          <w:lang w:val="en-US" w:eastAsia="zh-CN"/>
        </w:rPr>
        <w:t>本次规划范围为德安县</w:t>
      </w:r>
      <w:r>
        <w:rPr>
          <w:rFonts w:hint="eastAsia" w:ascii="宋体" w:hAnsi="宋体" w:eastAsia="宋体" w:cs="宋体"/>
          <w:color w:val="auto"/>
          <w:sz w:val="24"/>
          <w:szCs w:val="24"/>
        </w:rPr>
        <w:t>城区及以下的农村区域（包括乡镇、村庄、农村学校等）。</w:t>
      </w:r>
    </w:p>
    <w:p>
      <w:pPr>
        <w:tabs>
          <w:tab w:val="left" w:pos="0"/>
          <w:tab w:val="left" w:pos="915"/>
          <w:tab w:val="left" w:pos="1155"/>
          <w:tab w:val="left" w:pos="1575"/>
        </w:tabs>
        <w:adjustRightInd/>
        <w:snapToGrid/>
        <w:spacing w:line="360" w:lineRule="auto"/>
        <w:ind w:firstLine="568"/>
        <w:rPr>
          <w:rFonts w:hint="eastAsia" w:ascii="宋体" w:hAnsi="宋体" w:eastAsia="宋体" w:cs="宋体"/>
          <w:b/>
          <w:color w:val="auto"/>
          <w:spacing w:val="2"/>
          <w:kern w:val="0"/>
          <w:sz w:val="24"/>
          <w:szCs w:val="24"/>
        </w:rPr>
      </w:pPr>
      <w:r>
        <w:rPr>
          <w:rFonts w:hint="eastAsia" w:ascii="宋体" w:hAnsi="宋体" w:eastAsia="宋体" w:cs="宋体"/>
          <w:color w:val="auto"/>
          <w:spacing w:val="2"/>
          <w:kern w:val="0"/>
          <w:sz w:val="24"/>
          <w:szCs w:val="24"/>
          <w:lang w:val="en-US" w:eastAsia="zh-CN"/>
        </w:rPr>
        <w:t>德安县城乡供水一体化</w:t>
      </w:r>
      <w:r>
        <w:rPr>
          <w:rFonts w:hint="eastAsia" w:ascii="宋体" w:hAnsi="宋体" w:eastAsia="宋体" w:cs="宋体"/>
          <w:color w:val="auto"/>
          <w:spacing w:val="2"/>
          <w:kern w:val="0"/>
          <w:sz w:val="24"/>
          <w:szCs w:val="24"/>
          <w:lang w:eastAsia="zh-CN"/>
        </w:rPr>
        <w:t>规划范围主要包括：</w:t>
      </w:r>
      <w:r>
        <w:rPr>
          <w:rFonts w:hint="eastAsia" w:ascii="宋体" w:hAnsi="宋体" w:eastAsia="宋体" w:cs="宋体"/>
          <w:color w:val="auto"/>
          <w:kern w:val="0"/>
          <w:sz w:val="24"/>
          <w:szCs w:val="24"/>
          <w:lang w:val="en-US" w:eastAsia="zh-CN"/>
        </w:rPr>
        <w:t>主要包括蒲亭镇、宝塔乡、河东乡、林泉乡、丰林镇、高塘乡、聂桥镇、吴山镇、爱民乡、邹桥乡、塘山乡、车桥镇以及磨溪乡。</w:t>
      </w:r>
    </w:p>
    <w:p>
      <w:pPr>
        <w:keepNext/>
        <w:keepLines/>
        <w:widowControl w:val="0"/>
        <w:numPr>
          <w:ilvl w:val="2"/>
          <w:numId w:val="1"/>
        </w:numPr>
        <w:spacing w:line="360" w:lineRule="auto"/>
        <w:jc w:val="both"/>
        <w:outlineLvl w:val="2"/>
        <w:rPr>
          <w:rFonts w:hint="eastAsia" w:ascii="宋体" w:hAnsi="宋体" w:eastAsia="宋体" w:cs="宋体"/>
          <w:b/>
          <w:spacing w:val="2"/>
          <w:kern w:val="0"/>
          <w:sz w:val="24"/>
          <w:szCs w:val="24"/>
        </w:rPr>
      </w:pPr>
      <w:r>
        <w:rPr>
          <w:rFonts w:hint="eastAsia" w:ascii="宋体" w:hAnsi="宋体" w:eastAsia="宋体" w:cs="宋体"/>
          <w:b/>
          <w:spacing w:val="2"/>
          <w:kern w:val="0"/>
          <w:sz w:val="24"/>
          <w:szCs w:val="24"/>
        </w:rPr>
        <w:t>规划水平年</w:t>
      </w:r>
      <w:bookmarkEnd w:id="47"/>
      <w:bookmarkEnd w:id="48"/>
    </w:p>
    <w:p>
      <w:pPr>
        <w:pStyle w:val="2"/>
        <w:spacing w:line="360" w:lineRule="auto"/>
        <w:rPr>
          <w:rFonts w:hint="eastAsia" w:ascii="宋体" w:hAnsi="宋体" w:eastAsia="宋体" w:cs="宋体"/>
          <w:sz w:val="24"/>
          <w:szCs w:val="24"/>
        </w:rPr>
      </w:pPr>
      <w:r>
        <w:rPr>
          <w:rFonts w:hint="default" w:ascii="Times New Roman" w:hAnsi="Times New Roman" w:eastAsia="宋体" w:cs="Times New Roman"/>
          <w:sz w:val="24"/>
          <w:szCs w:val="24"/>
          <w:highlight w:val="none"/>
        </w:rPr>
        <w:t>本次规划现状年为 20</w:t>
      </w:r>
      <w:r>
        <w:rPr>
          <w:rFonts w:hint="default"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 xml:space="preserve"> 年，规划水平年为 20</w:t>
      </w:r>
      <w:r>
        <w:rPr>
          <w:rFonts w:hint="default"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rPr>
        <w:t>年。</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rPr>
      </w:pPr>
      <w:bookmarkStart w:id="51" w:name="_Toc29428"/>
      <w:r>
        <w:rPr>
          <w:rFonts w:hint="eastAsia" w:eastAsia="宋体" w:cs="宋体"/>
          <w:b/>
          <w:bCs/>
          <w:kern w:val="2"/>
          <w:sz w:val="24"/>
          <w:szCs w:val="24"/>
          <w:lang w:val="en-US" w:eastAsia="zh-CN"/>
        </w:rPr>
        <w:t>备用水源相关规划--</w:t>
      </w:r>
      <w:r>
        <w:rPr>
          <w:rFonts w:hint="eastAsia" w:ascii="宋体" w:hAnsi="宋体" w:eastAsia="宋体" w:cs="宋体"/>
          <w:color w:val="auto"/>
          <w:sz w:val="24"/>
          <w:szCs w:val="24"/>
          <w:lang w:eastAsia="zh-CN"/>
        </w:rPr>
        <w:t>木环水库</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、项目概况</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木环水库位于德安县宝塔乡东山村，坐落在鄱阳湖水系博阳河支流金带河上，距德安县城约10km控制流域面积15.2km2，总库容1640万m3，是一座以供水为主，兼顾防洪及生态景观等综合效益的中型水利工程。</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、项目建设背景、理由</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德安县中心城区由雁家湖水厂供水，近期供水规模3万m3/d，远期规划供水规模为5万m3/d。目前雁家湖水厂取水水源仅为博阳河河水，水源地单一，抵抗突发性水污染事件风险的能力低，供水保障性低，不满足用水安全。且流域内重金属矿产资源丰富，存在重金属污染风险。流域内人口较多，乡镇企业发展迅速，致使博阳河水质难以控制，需要建设备用水源。</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兴建木环水库可为雁家湖水厂提供日供水3万m3/d的优质水源，是解决德安县城的备用水源和维护社会和谐稳定的需要。兴建木环水库是贯彻</w:t>
      </w:r>
      <w:r>
        <w:rPr>
          <w:rFonts w:hint="eastAsia" w:ascii="宋体" w:hAnsi="宋体" w:eastAsia="宋体" w:cs="宋体"/>
          <w:color w:val="auto"/>
          <w:sz w:val="24"/>
          <w:szCs w:val="24"/>
          <w:lang w:val="en-US" w:eastAsia="zh-CN"/>
        </w:rPr>
        <w:t>党的</w:t>
      </w:r>
      <w:r>
        <w:rPr>
          <w:rFonts w:hint="eastAsia" w:ascii="宋体" w:hAnsi="宋体" w:eastAsia="宋体" w:cs="宋体"/>
          <w:color w:val="auto"/>
          <w:sz w:val="24"/>
          <w:szCs w:val="24"/>
          <w:lang w:eastAsia="zh-CN"/>
        </w:rPr>
        <w:t>十八大生态文明建设精神，增强城乡防洪能力的重要保障，可减轻金带河下游县城段的防洪压力，增强县城的防洪能力，为城市发展提供基础保障。</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、项目建设内容、规模及方案</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木环水库是一座以供水为主，兼顾防洪及生态景观等综合效益的中型水利工程。设计供水规模为3万m3/d，水库正常蓄水位为79m，总库容1640万m3，最大坝高32m。坝型为碾压混凝土重力坝，设计洪水标准100年一遇，校核洪水库标准1000年一遇。</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主要建设内容为：新建拦河大坝、取水孔（供水口）、供水管道、放空导流管等建筑物及防汛道路及水库管理房。</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、项目投资</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工程总投资约2.5亿元，其中建筑工程约1亿元，建设征地与移民安置费约1.5亿元。</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、项目建设期限</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木环水库新建工程项目集中，施工干扰大，工期安排为3年。工程建设分为工程筹建期、施工准备期、主体工程施工期和工程完建期。</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、建设征地及移民搬迁情况</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该项目需征地2776.49亩，其中农用地1370.59亩，建设用地188.02亩，未利用地39.92亩，林地447.79亩，基本农田730.16亩。移民搬迁涉及东山村9个村民小组约900多人。</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、项目进展情况</w:t>
      </w:r>
    </w:p>
    <w:p>
      <w:pPr>
        <w:tabs>
          <w:tab w:val="left" w:pos="0"/>
          <w:tab w:val="left" w:pos="915"/>
          <w:tab w:val="left" w:pos="1155"/>
          <w:tab w:val="left" w:pos="1575"/>
        </w:tabs>
        <w:adjustRightInd/>
        <w:snapToGrid/>
        <w:spacing w:line="360" w:lineRule="auto"/>
        <w:ind w:firstLine="56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由于新建中型水库基本建设程序要求，需要先将项目纳入国家相关规划后才可进行建设，目前我局已将该项目纳入“十四五”规划内，待规划通过后将项目可行性研究报告上报省发改委、省水利厅审查。</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rPr>
        <w:t>规划指导思想与基本原则</w:t>
      </w:r>
      <w:bookmarkEnd w:id="51"/>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规划指导思想</w:t>
      </w:r>
    </w:p>
    <w:p>
      <w:pPr>
        <w:pStyle w:val="71"/>
        <w:spacing w:line="360" w:lineRule="auto"/>
        <w:ind w:firstLine="584"/>
        <w:rPr>
          <w:rFonts w:hint="eastAsia" w:ascii="宋体" w:hAnsi="宋体" w:eastAsia="宋体" w:cs="宋体"/>
          <w:bCs/>
          <w:sz w:val="24"/>
          <w:szCs w:val="24"/>
        </w:rPr>
      </w:pPr>
      <w:r>
        <w:rPr>
          <w:rFonts w:hint="eastAsia" w:ascii="宋体" w:hAnsi="宋体" w:eastAsia="宋体" w:cs="宋体"/>
          <w:bCs/>
          <w:sz w:val="24"/>
          <w:szCs w:val="24"/>
        </w:rPr>
        <w:t>以习近平新时代中国特色社会主义思想为指导，</w:t>
      </w:r>
      <w:r>
        <w:rPr>
          <w:rFonts w:hint="eastAsia" w:ascii="宋体" w:hAnsi="宋体" w:eastAsia="宋体" w:cs="宋体"/>
          <w:sz w:val="24"/>
          <w:szCs w:val="24"/>
        </w:rPr>
        <w:t>认真贯彻《中共中央</w:t>
      </w:r>
      <w:r>
        <w:rPr>
          <w:rFonts w:hint="eastAsia" w:ascii="宋体" w:hAnsi="宋体" w:cs="宋体"/>
          <w:sz w:val="24"/>
          <w:szCs w:val="24"/>
          <w:lang w:val="en-US" w:eastAsia="zh-CN"/>
        </w:rPr>
        <w:t xml:space="preserve"> </w:t>
      </w:r>
      <w:r>
        <w:rPr>
          <w:rFonts w:hint="eastAsia" w:ascii="宋体" w:hAnsi="宋体" w:eastAsia="宋体" w:cs="宋体"/>
          <w:sz w:val="24"/>
          <w:szCs w:val="24"/>
        </w:rPr>
        <w:t>国务院关于坚持农业农村优先发展做好“三农”工作的若干意见》和《中共中央</w:t>
      </w:r>
      <w:r>
        <w:rPr>
          <w:rFonts w:hint="eastAsia" w:ascii="宋体" w:hAnsi="宋体" w:cs="宋体"/>
          <w:sz w:val="24"/>
          <w:szCs w:val="24"/>
          <w:lang w:val="en-US" w:eastAsia="zh-CN"/>
        </w:rPr>
        <w:t xml:space="preserve"> </w:t>
      </w:r>
      <w:r>
        <w:rPr>
          <w:rFonts w:hint="eastAsia" w:ascii="宋体" w:hAnsi="宋体" w:eastAsia="宋体" w:cs="宋体"/>
          <w:sz w:val="24"/>
          <w:szCs w:val="24"/>
        </w:rPr>
        <w:t>国务院关于建立健全城乡融合发展体制机制和政策体系的意见》，</w:t>
      </w:r>
      <w:r>
        <w:rPr>
          <w:rFonts w:hint="eastAsia" w:ascii="宋体" w:hAnsi="宋体" w:eastAsia="宋体" w:cs="宋体"/>
          <w:bCs/>
          <w:sz w:val="24"/>
          <w:szCs w:val="24"/>
        </w:rPr>
        <w:t>全面落实习近平总书记视察江西时提出的“构建新型城乡关系，建立健全城乡融合发展体制机制和政策体系，促进城乡协调发展、融合发展”的</w:t>
      </w:r>
      <w:r>
        <w:rPr>
          <w:rFonts w:hint="eastAsia" w:ascii="宋体" w:hAnsi="宋体" w:eastAsia="宋体" w:cs="宋体"/>
          <w:sz w:val="24"/>
          <w:szCs w:val="24"/>
        </w:rPr>
        <w:t>重要指示，紧紧围绕乡村振兴，</w:t>
      </w:r>
      <w:r>
        <w:rPr>
          <w:rFonts w:hint="eastAsia" w:ascii="宋体" w:hAnsi="宋体" w:eastAsia="宋体" w:cs="宋体"/>
          <w:bCs/>
          <w:sz w:val="24"/>
          <w:szCs w:val="24"/>
        </w:rPr>
        <w:t>因地制宜推进</w:t>
      </w:r>
      <w:r>
        <w:rPr>
          <w:rFonts w:hint="eastAsia" w:ascii="宋体" w:hAnsi="宋体" w:eastAsia="宋体" w:cs="宋体"/>
          <w:sz w:val="24"/>
          <w:szCs w:val="24"/>
        </w:rPr>
        <w:t>城</w:t>
      </w:r>
      <w:r>
        <w:rPr>
          <w:rFonts w:hint="eastAsia" w:ascii="宋体" w:hAnsi="宋体" w:eastAsia="宋体" w:cs="宋体"/>
          <w:bCs/>
          <w:sz w:val="24"/>
          <w:szCs w:val="24"/>
        </w:rPr>
        <w:t>乡一体化供水和规模化集中供水，充分发挥市场作用，加快构建现代农村供水保障体系，全面提升</w:t>
      </w:r>
      <w:r>
        <w:rPr>
          <w:rFonts w:hint="eastAsia" w:ascii="宋体" w:hAnsi="宋体" w:eastAsia="宋体" w:cs="宋体"/>
          <w:sz w:val="24"/>
          <w:szCs w:val="24"/>
        </w:rPr>
        <w:t>农村</w:t>
      </w:r>
      <w:r>
        <w:rPr>
          <w:rFonts w:hint="eastAsia" w:ascii="宋体" w:hAnsi="宋体" w:eastAsia="宋体" w:cs="宋体"/>
          <w:bCs/>
          <w:sz w:val="24"/>
          <w:szCs w:val="24"/>
        </w:rPr>
        <w:t>供水保障水平</w:t>
      </w:r>
      <w:r>
        <w:rPr>
          <w:rFonts w:hint="eastAsia" w:ascii="宋体" w:hAnsi="宋体" w:eastAsia="宋体" w:cs="宋体"/>
          <w:sz w:val="24"/>
          <w:szCs w:val="24"/>
        </w:rPr>
        <w:t>，助推区域城乡融合发展，在加快革命老区高质量发展上作示范、在推动中部地区崛起上勇争先</w:t>
      </w:r>
      <w:r>
        <w:rPr>
          <w:rFonts w:hint="eastAsia" w:ascii="宋体" w:hAnsi="宋体" w:eastAsia="宋体" w:cs="宋体"/>
          <w:bCs/>
          <w:sz w:val="24"/>
          <w:szCs w:val="24"/>
        </w:rPr>
        <w:t>，奋力迈出建设富裕美丽幸福现代化江西、共绘新时代江西物华天宝人杰地灵新画卷的坚实步伐。</w:t>
      </w:r>
    </w:p>
    <w:p>
      <w:pPr>
        <w:pStyle w:val="71"/>
        <w:spacing w:line="360" w:lineRule="auto"/>
        <w:ind w:firstLine="584"/>
        <w:rPr>
          <w:rFonts w:hint="eastAsia" w:ascii="宋体" w:hAnsi="宋体" w:eastAsia="宋体" w:cs="宋体"/>
          <w:bCs/>
          <w:sz w:val="24"/>
          <w:szCs w:val="24"/>
        </w:rPr>
      </w:pPr>
      <w:r>
        <w:rPr>
          <w:rFonts w:hint="eastAsia" w:ascii="宋体" w:hAnsi="宋体" w:eastAsia="宋体" w:cs="宋体"/>
          <w:bCs/>
          <w:sz w:val="24"/>
          <w:szCs w:val="24"/>
        </w:rPr>
        <w:t>以县域为单元，统一规划、统筹建设，按照城乡融合发展要求，遵循政府主导、社会参与、因地制宜的原则，按照公益化服务、规模化发展、标准化建设、市场化运作、企业化经营、专业化管理的要求，以优质稳定可靠水源为前提，打破行政区划</w:t>
      </w:r>
      <w:r>
        <w:rPr>
          <w:rFonts w:hint="eastAsia" w:ascii="宋体" w:hAnsi="宋体" w:cs="宋体"/>
          <w:bCs/>
          <w:sz w:val="24"/>
          <w:szCs w:val="24"/>
          <w:lang w:eastAsia="zh-CN"/>
        </w:rPr>
        <w:t>界线</w:t>
      </w:r>
      <w:r>
        <w:rPr>
          <w:rFonts w:hint="eastAsia" w:ascii="宋体" w:hAnsi="宋体" w:eastAsia="宋体" w:cs="宋体"/>
          <w:bCs/>
          <w:sz w:val="24"/>
          <w:szCs w:val="24"/>
        </w:rPr>
        <w:t>， 优先发展集中连片规模化供水工程，重点推进大水源、大水厂、大管网建设，构建起以城市供水管网延伸和规模化供水工程为主、小型集中式供水工程为辅、分散式供水工程为补充的供水工程体系。运用先进实用的水处理工艺与消毒技术，以及自动化控制与现代信息技术等，建立从源头到龙头的供水安全保障体系，全面提高供水质量与管理水平，实现城乡供水同标准（供水水质和供水保证率）、同管理、同服务。</w:t>
      </w:r>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基本原则</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（1）以人为本原则</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eastAsia" w:cs="Times New Roman"/>
          <w:b w:val="0"/>
          <w:bCs w:val="0"/>
          <w:kern w:val="2"/>
          <w:sz w:val="24"/>
          <w:szCs w:val="24"/>
          <w:highlight w:val="none"/>
          <w:lang w:val="en-US" w:eastAsia="zh-CN"/>
        </w:rPr>
        <w:t>城乡供水一体化工程</w:t>
      </w:r>
      <w:r>
        <w:rPr>
          <w:rFonts w:hint="default" w:ascii="Times New Roman" w:hAnsi="Times New Roman" w:eastAsia="宋体" w:cs="Times New Roman"/>
          <w:b w:val="0"/>
          <w:bCs w:val="0"/>
          <w:kern w:val="2"/>
          <w:sz w:val="24"/>
          <w:szCs w:val="24"/>
          <w:highlight w:val="none"/>
          <w:lang w:val="en-US" w:eastAsia="zh-CN"/>
        </w:rPr>
        <w:t>建设旨在保障农村供水安全，着力缩小城乡发展差距，解决农村和城市发展不平衡不充分的矛盾。从提高人民群众生活水平和质量等实际要求出发，把人民群众的根本利益作为基本出发点，着力改善农村生产和生活条件，满足人民群众生活和经济社会发展的实际需要。</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（2）政府引导、</w:t>
      </w:r>
      <w:r>
        <w:rPr>
          <w:rFonts w:hint="eastAsia" w:ascii="Times New Roman" w:hAnsi="Times New Roman" w:eastAsia="宋体" w:cs="Times New Roman"/>
          <w:b w:val="0"/>
          <w:bCs w:val="0"/>
          <w:kern w:val="2"/>
          <w:sz w:val="24"/>
          <w:szCs w:val="24"/>
          <w:highlight w:val="none"/>
          <w:lang w:val="en-US" w:eastAsia="zh-CN"/>
        </w:rPr>
        <w:t>“</w:t>
      </w:r>
      <w:r>
        <w:rPr>
          <w:rFonts w:hint="default" w:ascii="Times New Roman" w:hAnsi="Times New Roman" w:eastAsia="宋体" w:cs="Times New Roman"/>
          <w:b w:val="0"/>
          <w:bCs w:val="0"/>
          <w:kern w:val="2"/>
          <w:sz w:val="24"/>
          <w:szCs w:val="24"/>
          <w:highlight w:val="none"/>
          <w:lang w:val="en-US" w:eastAsia="zh-CN"/>
        </w:rPr>
        <w:t>五化</w:t>
      </w:r>
      <w:r>
        <w:rPr>
          <w:rFonts w:hint="eastAsia" w:ascii="Times New Roman" w:hAnsi="Times New Roman" w:eastAsia="宋体" w:cs="Times New Roman"/>
          <w:b w:val="0"/>
          <w:bCs w:val="0"/>
          <w:kern w:val="2"/>
          <w:sz w:val="24"/>
          <w:szCs w:val="24"/>
          <w:highlight w:val="none"/>
          <w:lang w:val="en-US" w:eastAsia="zh-CN"/>
        </w:rPr>
        <w:t>“</w:t>
      </w:r>
      <w:r>
        <w:rPr>
          <w:rFonts w:hint="default" w:ascii="Times New Roman" w:hAnsi="Times New Roman" w:eastAsia="宋体" w:cs="Times New Roman"/>
          <w:b w:val="0"/>
          <w:bCs w:val="0"/>
          <w:kern w:val="2"/>
          <w:sz w:val="24"/>
          <w:szCs w:val="24"/>
          <w:highlight w:val="none"/>
          <w:lang w:val="en-US" w:eastAsia="zh-CN"/>
        </w:rPr>
        <w:t>建管原则</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坚持政府引导，规模化发展、标准化建设、市场化运作、企业化经营、专业化管理、用水户参与的新思路。运用新理论、新方法、新技术、新工艺，以及自动化控制、现代化信息管理等先进技术，不断提高农村自来水发展水平和普及率。</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（3）全面规划、分期实施原则</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规划须与国家和地区及有关部门的相关规划与发展战略相协调，全面规划、统筹兼顾，既要注重宏观、政策上的引导，具有一定的前瞻性，又要突出重点、讲求实效，具有较强的可操作性。在制定规划方案时，须根据城乡</w:t>
      </w:r>
      <w:r>
        <w:rPr>
          <w:rFonts w:hint="eastAsia" w:ascii="Times New Roman" w:hAnsi="Times New Roman" w:eastAsia="宋体" w:cs="Times New Roman"/>
          <w:b w:val="0"/>
          <w:bCs w:val="0"/>
          <w:kern w:val="2"/>
          <w:sz w:val="24"/>
          <w:szCs w:val="24"/>
          <w:highlight w:val="none"/>
          <w:lang w:val="en-US" w:eastAsia="zh-CN"/>
        </w:rPr>
        <w:t>“</w:t>
      </w:r>
      <w:r>
        <w:rPr>
          <w:rFonts w:hint="default" w:ascii="Times New Roman" w:hAnsi="Times New Roman" w:eastAsia="宋体" w:cs="Times New Roman"/>
          <w:b w:val="0"/>
          <w:bCs w:val="0"/>
          <w:kern w:val="2"/>
          <w:sz w:val="24"/>
          <w:szCs w:val="24"/>
          <w:highlight w:val="none"/>
          <w:lang w:val="en-US" w:eastAsia="zh-CN"/>
        </w:rPr>
        <w:t>五化</w:t>
      </w:r>
      <w:r>
        <w:rPr>
          <w:rFonts w:hint="eastAsia" w:ascii="Times New Roman" w:hAnsi="Times New Roman" w:eastAsia="宋体" w:cs="Times New Roman"/>
          <w:b w:val="0"/>
          <w:bCs w:val="0"/>
          <w:kern w:val="2"/>
          <w:sz w:val="24"/>
          <w:szCs w:val="24"/>
          <w:highlight w:val="none"/>
          <w:lang w:val="en-US" w:eastAsia="zh-CN"/>
        </w:rPr>
        <w:t>”</w:t>
      </w:r>
      <w:r>
        <w:rPr>
          <w:rFonts w:hint="default" w:ascii="Times New Roman" w:hAnsi="Times New Roman" w:eastAsia="宋体" w:cs="Times New Roman"/>
          <w:b w:val="0"/>
          <w:bCs w:val="0"/>
          <w:kern w:val="2"/>
          <w:sz w:val="24"/>
          <w:szCs w:val="24"/>
          <w:highlight w:val="none"/>
          <w:lang w:val="en-US" w:eastAsia="zh-CN"/>
        </w:rPr>
        <w:t>统筹和城乡供水一体化的要求，结合本地区的人口分布、水源条件等实际情况以及经济发展水平，与时俱进，立足当前、兼顾长远，打破行政区划和城乡</w:t>
      </w:r>
      <w:r>
        <w:rPr>
          <w:rFonts w:hint="eastAsia" w:eastAsia="宋体" w:cs="Times New Roman"/>
          <w:b w:val="0"/>
          <w:bCs w:val="0"/>
          <w:kern w:val="2"/>
          <w:sz w:val="24"/>
          <w:szCs w:val="24"/>
          <w:highlight w:val="none"/>
          <w:lang w:val="en-US" w:eastAsia="zh-CN"/>
        </w:rPr>
        <w:t>界线</w:t>
      </w:r>
      <w:r>
        <w:rPr>
          <w:rFonts w:hint="default" w:ascii="Times New Roman" w:hAnsi="Times New Roman" w:eastAsia="宋体" w:cs="Times New Roman"/>
          <w:b w:val="0"/>
          <w:bCs w:val="0"/>
          <w:kern w:val="2"/>
          <w:sz w:val="24"/>
          <w:szCs w:val="24"/>
          <w:highlight w:val="none"/>
          <w:lang w:val="en-US" w:eastAsia="zh-CN"/>
        </w:rPr>
        <w:t>，充分考虑水资源的承载能力，合理确定供水工程建设规模，按照轻重缓急的原则，分步实施，为建成</w:t>
      </w:r>
      <w:r>
        <w:rPr>
          <w:rFonts w:hint="eastAsia" w:cs="Times New Roman"/>
          <w:b w:val="0"/>
          <w:bCs w:val="0"/>
          <w:kern w:val="2"/>
          <w:sz w:val="24"/>
          <w:szCs w:val="24"/>
          <w:highlight w:val="none"/>
          <w:lang w:val="en-US" w:eastAsia="zh-CN"/>
        </w:rPr>
        <w:t>城乡供水一体化工程</w:t>
      </w:r>
      <w:r>
        <w:rPr>
          <w:rFonts w:hint="default" w:ascii="Times New Roman" w:hAnsi="Times New Roman" w:eastAsia="宋体" w:cs="Times New Roman"/>
          <w:b w:val="0"/>
          <w:bCs w:val="0"/>
          <w:kern w:val="2"/>
          <w:sz w:val="24"/>
          <w:szCs w:val="24"/>
          <w:highlight w:val="none"/>
          <w:lang w:val="en-US" w:eastAsia="zh-CN"/>
        </w:rPr>
        <w:t>体系创造条件。</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（4）节约、保护水土资源原则</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eastAsia" w:cs="Times New Roman"/>
          <w:b w:val="0"/>
          <w:bCs w:val="0"/>
          <w:kern w:val="2"/>
          <w:sz w:val="24"/>
          <w:szCs w:val="24"/>
          <w:highlight w:val="none"/>
          <w:lang w:val="en-US" w:eastAsia="zh-CN"/>
        </w:rPr>
        <w:t>城乡供水一体化工程</w:t>
      </w:r>
      <w:r>
        <w:rPr>
          <w:rFonts w:hint="default" w:ascii="Times New Roman" w:hAnsi="Times New Roman" w:eastAsia="宋体" w:cs="Times New Roman"/>
          <w:b w:val="0"/>
          <w:bCs w:val="0"/>
          <w:kern w:val="2"/>
          <w:sz w:val="24"/>
          <w:szCs w:val="24"/>
          <w:highlight w:val="none"/>
          <w:lang w:val="en-US" w:eastAsia="zh-CN"/>
        </w:rPr>
        <w:t>建设应贯彻</w:t>
      </w:r>
      <w:r>
        <w:rPr>
          <w:rFonts w:hint="eastAsia" w:ascii="Times New Roman" w:hAnsi="Times New Roman" w:eastAsia="宋体" w:cs="Times New Roman"/>
          <w:b w:val="0"/>
          <w:bCs w:val="0"/>
          <w:kern w:val="2"/>
          <w:sz w:val="24"/>
          <w:szCs w:val="24"/>
          <w:highlight w:val="none"/>
          <w:lang w:val="en-US" w:eastAsia="zh-CN"/>
        </w:rPr>
        <w:t>“</w:t>
      </w:r>
      <w:r>
        <w:rPr>
          <w:rFonts w:hint="default" w:ascii="Times New Roman" w:hAnsi="Times New Roman" w:eastAsia="宋体" w:cs="Times New Roman"/>
          <w:b w:val="0"/>
          <w:bCs w:val="0"/>
          <w:kern w:val="2"/>
          <w:sz w:val="24"/>
          <w:szCs w:val="24"/>
          <w:highlight w:val="none"/>
          <w:lang w:val="en-US" w:eastAsia="zh-CN"/>
        </w:rPr>
        <w:t>在保护中开发、在开发中保护</w:t>
      </w:r>
      <w:r>
        <w:rPr>
          <w:rFonts w:hint="eastAsia" w:ascii="Times New Roman" w:hAnsi="Times New Roman" w:eastAsia="宋体" w:cs="Times New Roman"/>
          <w:b w:val="0"/>
          <w:bCs w:val="0"/>
          <w:kern w:val="2"/>
          <w:sz w:val="24"/>
          <w:szCs w:val="24"/>
          <w:highlight w:val="none"/>
          <w:lang w:val="en-US" w:eastAsia="zh-CN"/>
        </w:rPr>
        <w:t>”</w:t>
      </w:r>
      <w:r>
        <w:rPr>
          <w:rFonts w:hint="default" w:ascii="Times New Roman" w:hAnsi="Times New Roman" w:eastAsia="宋体" w:cs="Times New Roman"/>
          <w:b w:val="0"/>
          <w:bCs w:val="0"/>
          <w:kern w:val="2"/>
          <w:sz w:val="24"/>
          <w:szCs w:val="24"/>
          <w:highlight w:val="none"/>
          <w:lang w:val="en-US" w:eastAsia="zh-CN"/>
        </w:rPr>
        <w:t>的方针，加强供水水源地保护与水质监测，有效保护供水水源，同时加大节水力度，逐步降低自来水管网漏损率，在节水和水资源保护的基础上合理开发利用水资源，提高水资源利用效率。工程建设规划布局要注意保护耕地，尤其是保护基本农田，尽可能避免或减少占用耕地。</w:t>
      </w:r>
    </w:p>
    <w:p>
      <w:pPr>
        <w:pStyle w:val="69"/>
        <w:adjustRightInd w:val="0"/>
        <w:snapToGrid w:val="0"/>
        <w:spacing w:line="500" w:lineRule="exact"/>
        <w:ind w:firstLine="446" w:firstLineChars="186"/>
        <w:rPr>
          <w:rFonts w:hint="default" w:ascii="Times New Roman" w:hAnsi="Times New Roman" w:eastAsia="宋体" w:cs="Times New Roman"/>
          <w:b w:val="0"/>
          <w:bCs w:val="0"/>
          <w:kern w:val="2"/>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rPr>
        <w:t>（5）长效管理、良性发展原则</w:t>
      </w:r>
    </w:p>
    <w:p>
      <w:pPr>
        <w:pStyle w:val="69"/>
        <w:adjustRightInd w:val="0"/>
        <w:snapToGrid w:val="0"/>
        <w:spacing w:line="500" w:lineRule="exact"/>
        <w:ind w:firstLine="446" w:firstLineChars="186"/>
        <w:rPr>
          <w:rFonts w:hint="eastAsia" w:ascii="宋体" w:hAnsi="宋体" w:eastAsia="宋体" w:cs="宋体"/>
          <w:i w:val="0"/>
          <w:iCs w:val="0"/>
          <w:sz w:val="24"/>
          <w:szCs w:val="24"/>
        </w:rPr>
      </w:pPr>
      <w:r>
        <w:rPr>
          <w:rFonts w:hint="default" w:ascii="Times New Roman" w:hAnsi="Times New Roman" w:eastAsia="宋体" w:cs="Times New Roman"/>
          <w:b w:val="0"/>
          <w:bCs w:val="0"/>
          <w:kern w:val="2"/>
          <w:sz w:val="24"/>
          <w:szCs w:val="24"/>
          <w:highlight w:val="none"/>
          <w:lang w:val="en-US" w:eastAsia="zh-CN"/>
        </w:rPr>
        <w:t>按照国家和我省颁布的水管体制改革有关文件要求，研究制定农村供水工程管理体制改革的具体措施，制定管理办法，落实建设与管护主体，建管并重，切实加强工程运行管理，建立长效的运行管护机制，确保工程良性运行和长期发挥效益。</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562" w:firstLineChars="200"/>
        <w:textAlignment w:val="auto"/>
        <w:rPr>
          <w:rFonts w:hint="eastAsia" w:ascii="Times New Roman" w:hAnsi="Times New Roman" w:eastAsia="宋体" w:cs="Times New Roman"/>
          <w:b/>
          <w:bCs/>
          <w:sz w:val="28"/>
          <w:szCs w:val="28"/>
          <w:highlight w:val="none"/>
          <w:lang w:val="en-US" w:eastAsia="zh-CN"/>
        </w:rPr>
      </w:pPr>
      <w:bookmarkStart w:id="52" w:name="_Toc3017"/>
      <w:r>
        <w:rPr>
          <w:rFonts w:hint="eastAsia" w:ascii="Times New Roman" w:hAnsi="Times New Roman" w:eastAsia="宋体" w:cs="Times New Roman"/>
          <w:b/>
          <w:bCs/>
          <w:sz w:val="28"/>
          <w:szCs w:val="28"/>
          <w:highlight w:val="none"/>
          <w:lang w:val="en-US" w:eastAsia="zh-CN"/>
        </w:rPr>
        <w:t>规划目标</w:t>
      </w:r>
      <w:bookmarkEnd w:id="52"/>
    </w:p>
    <w:p>
      <w:pPr>
        <w:pStyle w:val="71"/>
        <w:spacing w:line="360" w:lineRule="auto"/>
        <w:ind w:firstLine="584"/>
        <w:rPr>
          <w:rFonts w:hint="default" w:ascii="宋体" w:hAnsi="宋体" w:eastAsia="宋体" w:cs="宋体"/>
          <w:bCs/>
          <w:sz w:val="24"/>
          <w:szCs w:val="24"/>
          <w:lang w:val="en-US" w:eastAsia="zh-CN"/>
        </w:rPr>
      </w:pPr>
      <w:r>
        <w:rPr>
          <w:rFonts w:hint="eastAsia" w:ascii="宋体" w:hAnsi="宋体" w:cs="宋体"/>
          <w:bCs/>
          <w:sz w:val="24"/>
          <w:szCs w:val="24"/>
          <w:lang w:eastAsia="zh-CN"/>
        </w:rPr>
        <w:t>德安县</w:t>
      </w:r>
      <w:r>
        <w:rPr>
          <w:rFonts w:hint="eastAsia" w:ascii="宋体" w:hAnsi="宋体" w:eastAsia="宋体" w:cs="宋体"/>
          <w:bCs/>
          <w:sz w:val="24"/>
          <w:szCs w:val="24"/>
          <w:lang w:eastAsia="zh-CN"/>
        </w:rPr>
        <w:t>规划目标：</w:t>
      </w:r>
      <w:r>
        <w:rPr>
          <w:rFonts w:hint="eastAsia" w:ascii="宋体" w:hAnsi="宋体" w:cs="宋体"/>
          <w:bCs/>
          <w:sz w:val="24"/>
          <w:szCs w:val="24"/>
          <w:lang w:eastAsia="zh-CN"/>
        </w:rPr>
        <w:t>规划</w:t>
      </w:r>
      <w:r>
        <w:rPr>
          <w:rFonts w:hint="eastAsia" w:ascii="宋体" w:hAnsi="宋体" w:eastAsia="宋体" w:cs="宋体"/>
          <w:bCs/>
          <w:sz w:val="24"/>
          <w:szCs w:val="24"/>
        </w:rPr>
        <w:t>到2022年，</w:t>
      </w:r>
      <w:r>
        <w:rPr>
          <w:rFonts w:hint="eastAsia" w:ascii="宋体" w:hAnsi="宋体" w:cs="宋体"/>
          <w:bCs/>
          <w:sz w:val="24"/>
          <w:szCs w:val="24"/>
          <w:lang w:eastAsia="zh-CN"/>
        </w:rPr>
        <w:t>德安县</w:t>
      </w:r>
      <w:r>
        <w:rPr>
          <w:rFonts w:hint="eastAsia" w:ascii="宋体" w:hAnsi="宋体" w:eastAsia="宋体" w:cs="宋体"/>
          <w:bCs/>
          <w:sz w:val="24"/>
          <w:szCs w:val="24"/>
        </w:rPr>
        <w:t>农村集中供水率达到87%以上，自来水普及率达到83%以上，规模化工程服务人口比例达到60%以上；</w:t>
      </w:r>
      <w:r>
        <w:rPr>
          <w:rFonts w:hint="eastAsia" w:ascii="宋体" w:hAnsi="宋体" w:eastAsia="宋体" w:cs="宋体"/>
          <w:bCs/>
          <w:sz w:val="24"/>
          <w:szCs w:val="24"/>
          <w:lang w:eastAsia="zh-CN"/>
        </w:rPr>
        <w:t>规划至</w:t>
      </w:r>
      <w:r>
        <w:rPr>
          <w:rFonts w:hint="eastAsia" w:ascii="宋体" w:hAnsi="宋体" w:eastAsia="宋体" w:cs="宋体"/>
          <w:bCs/>
          <w:sz w:val="24"/>
          <w:szCs w:val="24"/>
          <w:lang w:val="en-US" w:eastAsia="zh-CN"/>
        </w:rPr>
        <w:t>2025年</w:t>
      </w:r>
      <w:r>
        <w:rPr>
          <w:rFonts w:hint="eastAsia" w:ascii="宋体" w:hAnsi="宋体" w:eastAsia="宋体" w:cs="宋体"/>
          <w:bCs/>
          <w:sz w:val="24"/>
          <w:szCs w:val="24"/>
          <w:lang w:eastAsia="zh-CN"/>
        </w:rPr>
        <w:t>，</w:t>
      </w:r>
      <w:r>
        <w:rPr>
          <w:rFonts w:hint="eastAsia" w:ascii="宋体" w:hAnsi="宋体" w:cs="宋体"/>
          <w:bCs/>
          <w:sz w:val="24"/>
          <w:szCs w:val="24"/>
          <w:lang w:eastAsia="zh-CN"/>
        </w:rPr>
        <w:t>德安县</w:t>
      </w:r>
      <w:r>
        <w:rPr>
          <w:rFonts w:hint="eastAsia" w:ascii="宋体" w:hAnsi="宋体" w:eastAsia="宋体" w:cs="宋体"/>
          <w:bCs/>
          <w:sz w:val="24"/>
          <w:szCs w:val="24"/>
        </w:rPr>
        <w:t>农村集中供水率达到90%以上，自来水普及率达到85%以上，规模化工程服务人口比例达到63%以上；</w:t>
      </w:r>
      <w:r>
        <w:rPr>
          <w:rFonts w:hint="eastAsia" w:ascii="宋体" w:hAnsi="宋体" w:eastAsia="宋体" w:cs="宋体"/>
          <w:bCs/>
          <w:sz w:val="24"/>
          <w:szCs w:val="24"/>
          <w:lang w:eastAsia="zh-CN"/>
        </w:rPr>
        <w:t>自来水保护区全面划定，基本建立健全</w:t>
      </w:r>
      <w:r>
        <w:rPr>
          <w:rFonts w:hint="eastAsia" w:ascii="宋体" w:hAnsi="宋体" w:cs="宋体"/>
          <w:bCs/>
          <w:sz w:val="24"/>
          <w:szCs w:val="24"/>
          <w:lang w:val="en-US" w:eastAsia="zh-CN"/>
        </w:rPr>
        <w:t>的城乡供水一体化工程</w:t>
      </w:r>
      <w:r>
        <w:rPr>
          <w:rFonts w:hint="eastAsia" w:ascii="宋体" w:hAnsi="宋体" w:eastAsia="宋体" w:cs="宋体"/>
          <w:bCs/>
          <w:sz w:val="24"/>
          <w:szCs w:val="24"/>
          <w:lang w:eastAsia="zh-CN"/>
        </w:rPr>
        <w:t>良性运行机制。</w:t>
      </w:r>
      <w:r>
        <w:rPr>
          <w:rFonts w:hint="eastAsia" w:ascii="宋体" w:hAnsi="宋体" w:cs="宋体"/>
          <w:bCs/>
          <w:sz w:val="24"/>
          <w:szCs w:val="24"/>
          <w:lang w:val="en-US" w:eastAsia="zh-CN"/>
        </w:rPr>
        <w:t>规划至2025年，德安</w:t>
      </w:r>
      <w:r>
        <w:rPr>
          <w:rFonts w:hint="eastAsia" w:ascii="宋体" w:hAnsi="宋体" w:eastAsia="宋体" w:cs="宋体"/>
          <w:bCs/>
          <w:i w:val="0"/>
          <w:iCs w:val="0"/>
          <w:sz w:val="24"/>
          <w:szCs w:val="24"/>
          <w:lang w:val="en-US" w:eastAsia="zh-CN"/>
        </w:rPr>
        <w:t>县城乡供水一体化工程覆盖率（按人口覆盖面）</w:t>
      </w:r>
      <w:r>
        <w:rPr>
          <w:rFonts w:hint="eastAsia" w:ascii="宋体" w:hAnsi="宋体" w:cs="宋体"/>
          <w:bCs/>
          <w:i w:val="0"/>
          <w:iCs w:val="0"/>
          <w:sz w:val="24"/>
          <w:szCs w:val="24"/>
          <w:lang w:val="en-US" w:eastAsia="zh-CN"/>
        </w:rPr>
        <w:t>达到90%。</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lang w:val="en-US" w:eastAsia="zh-CN"/>
        </w:rPr>
      </w:pPr>
      <w:bookmarkStart w:id="53" w:name="_Toc32594"/>
      <w:r>
        <w:rPr>
          <w:rFonts w:hint="eastAsia" w:ascii="宋体" w:hAnsi="宋体" w:eastAsia="宋体" w:cs="宋体"/>
          <w:b/>
          <w:bCs/>
          <w:kern w:val="2"/>
          <w:sz w:val="24"/>
          <w:szCs w:val="24"/>
          <w:lang w:val="en-US" w:eastAsia="zh-CN"/>
        </w:rPr>
        <w:t>规划任务</w:t>
      </w:r>
      <w:bookmarkEnd w:id="53"/>
    </w:p>
    <w:p>
      <w:pPr>
        <w:keepNext/>
        <w:keepLines/>
        <w:widowControl w:val="0"/>
        <w:numPr>
          <w:ilvl w:val="2"/>
          <w:numId w:val="1"/>
        </w:numPr>
        <w:spacing w:line="360" w:lineRule="auto"/>
        <w:jc w:val="both"/>
        <w:outlineLvl w:val="2"/>
        <w:rPr>
          <w:rFonts w:hint="default" w:ascii="宋体" w:hAnsi="宋体" w:eastAsia="宋体" w:cs="Times New Roman"/>
          <w:b/>
          <w:bCs/>
          <w:kern w:val="2"/>
          <w:sz w:val="24"/>
          <w:szCs w:val="24"/>
          <w:lang w:val="en-US" w:eastAsia="zh-CN" w:bidi="ar-SA"/>
        </w:rPr>
      </w:pPr>
      <w:bookmarkStart w:id="54" w:name="bookmark16"/>
      <w:bookmarkEnd w:id="54"/>
      <w:bookmarkStart w:id="55" w:name="bookmark17"/>
      <w:bookmarkEnd w:id="55"/>
      <w:r>
        <w:rPr>
          <w:rFonts w:hint="eastAsia" w:ascii="宋体" w:hAnsi="宋体" w:eastAsia="宋体" w:cs="Times New Roman"/>
          <w:b/>
          <w:bCs/>
          <w:kern w:val="2"/>
          <w:sz w:val="24"/>
          <w:szCs w:val="24"/>
          <w:lang w:val="en-US" w:eastAsia="zh-CN" w:bidi="ar-SA"/>
        </w:rPr>
        <w:t>规划城乡供水一体化工程体系</w:t>
      </w:r>
    </w:p>
    <w:p>
      <w:pPr>
        <w:pStyle w:val="71"/>
        <w:spacing w:line="360" w:lineRule="auto"/>
        <w:ind w:firstLine="584"/>
        <w:rPr>
          <w:rFonts w:hint="eastAsia" w:ascii="宋体" w:hAnsi="宋体" w:cs="宋体"/>
          <w:bCs/>
          <w:sz w:val="24"/>
          <w:szCs w:val="24"/>
          <w:lang w:eastAsia="zh-CN"/>
        </w:rPr>
      </w:pPr>
      <w:r>
        <w:rPr>
          <w:rFonts w:hint="eastAsia" w:ascii="宋体" w:hAnsi="宋体" w:cs="宋体"/>
          <w:bCs/>
          <w:sz w:val="24"/>
          <w:szCs w:val="24"/>
          <w:lang w:val="en-US" w:eastAsia="zh-CN"/>
        </w:rPr>
        <w:t>1、</w:t>
      </w:r>
      <w:r>
        <w:rPr>
          <w:rFonts w:hint="eastAsia" w:ascii="宋体" w:hAnsi="宋体" w:cs="宋体"/>
          <w:bCs/>
          <w:sz w:val="24"/>
          <w:szCs w:val="24"/>
          <w:lang w:eastAsia="zh-CN"/>
        </w:rPr>
        <w:t>科学编制规划。以国土空间总体规划为依据，在2013年批复的农村自来水规划基础上，结合近年农村供水 实施情况及社会经济发展需求，绘制城乡供水一体化建设蓝图，编 制好</w:t>
      </w:r>
      <w:r>
        <w:rPr>
          <w:rFonts w:hint="eastAsia" w:ascii="宋体" w:hAnsi="宋体" w:cs="宋体"/>
          <w:bCs/>
          <w:sz w:val="24"/>
          <w:szCs w:val="24"/>
          <w:lang w:val="zh-CN" w:eastAsia="zh-CN"/>
        </w:rPr>
        <w:t>“十四</w:t>
      </w:r>
      <w:r>
        <w:rPr>
          <w:rFonts w:hint="eastAsia" w:ascii="宋体" w:hAnsi="宋体" w:cs="宋体"/>
          <w:bCs/>
          <w:sz w:val="24"/>
          <w:szCs w:val="24"/>
          <w:lang w:eastAsia="zh-CN"/>
        </w:rPr>
        <w:t>五”县级农村供水保障规划，合理安排城乡供水一体化年度建设任务。在保障农村供水安全的情况下，按照</w:t>
      </w:r>
      <w:r>
        <w:rPr>
          <w:rFonts w:hint="eastAsia" w:ascii="宋体" w:hAnsi="宋体" w:cs="宋体"/>
          <w:bCs/>
          <w:sz w:val="24"/>
          <w:szCs w:val="24"/>
          <w:lang w:val="zh-CN" w:eastAsia="zh-CN"/>
        </w:rPr>
        <w:t>“厂网</w:t>
      </w:r>
      <w:r>
        <w:rPr>
          <w:rFonts w:hint="eastAsia" w:ascii="宋体" w:hAnsi="宋体" w:cs="宋体"/>
          <w:bCs/>
          <w:sz w:val="24"/>
          <w:szCs w:val="24"/>
          <w:lang w:eastAsia="zh-CN"/>
        </w:rPr>
        <w:t>布局合 理、资源高效利用、优先集中供水”的原则，全面规划、统筹布点、重点推进、分步实施城乡供水一体化工程。</w:t>
      </w:r>
    </w:p>
    <w:p>
      <w:pPr>
        <w:pStyle w:val="71"/>
        <w:spacing w:line="360" w:lineRule="auto"/>
        <w:ind w:firstLine="584"/>
        <w:rPr>
          <w:rFonts w:hint="eastAsia" w:ascii="宋体" w:hAnsi="宋体" w:cs="宋体"/>
          <w:bCs/>
          <w:sz w:val="24"/>
          <w:szCs w:val="24"/>
          <w:lang w:eastAsia="zh-CN"/>
        </w:rPr>
      </w:pPr>
      <w:bookmarkStart w:id="56" w:name="bookmark18"/>
      <w:bookmarkEnd w:id="56"/>
      <w:r>
        <w:rPr>
          <w:rFonts w:hint="eastAsia" w:ascii="宋体" w:hAnsi="宋体" w:cs="宋体"/>
          <w:bCs/>
          <w:sz w:val="24"/>
          <w:szCs w:val="24"/>
          <w:lang w:val="en-US" w:eastAsia="zh-CN"/>
        </w:rPr>
        <w:t>2、</w:t>
      </w:r>
      <w:r>
        <w:rPr>
          <w:rFonts w:hint="eastAsia" w:ascii="宋体" w:hAnsi="宋体" w:cs="宋体"/>
          <w:bCs/>
          <w:sz w:val="24"/>
          <w:szCs w:val="24"/>
          <w:lang w:eastAsia="zh-CN"/>
        </w:rPr>
        <w:t>加快工程建设。按照城乡供水一体化规划、标准和要求，优先解决贫困地区，特别是贫困村的一体化建设，尽快落实项目资金，加快工程建设进度，保障及时发挥效益；分年度建设的工程，要长短结合，结合可持续发展，合理安排</w:t>
      </w:r>
      <w:r>
        <w:rPr>
          <w:rFonts w:hint="eastAsia" w:ascii="宋体" w:hAnsi="宋体" w:cs="宋体"/>
          <w:bCs/>
          <w:sz w:val="24"/>
          <w:szCs w:val="24"/>
          <w:lang w:val="zh-CN" w:eastAsia="zh-CN"/>
        </w:rPr>
        <w:t>“十四</w:t>
      </w:r>
      <w:r>
        <w:rPr>
          <w:rFonts w:hint="eastAsia" w:ascii="宋体" w:hAnsi="宋体" w:cs="宋体"/>
          <w:bCs/>
          <w:sz w:val="24"/>
          <w:szCs w:val="24"/>
          <w:lang w:eastAsia="zh-CN"/>
        </w:rPr>
        <w:t>五”期间工程建设；按照规划，需要保留的现有工程，按照统一标准和要求，有针对性地开展提质增效，抓好工程改造。</w:t>
      </w:r>
    </w:p>
    <w:p>
      <w:pPr>
        <w:pStyle w:val="71"/>
        <w:spacing w:line="360" w:lineRule="auto"/>
        <w:ind w:firstLine="584"/>
        <w:rPr>
          <w:rFonts w:hint="eastAsia" w:ascii="宋体" w:hAnsi="宋体" w:cs="宋体"/>
          <w:bCs/>
          <w:sz w:val="24"/>
          <w:szCs w:val="24"/>
          <w:lang w:eastAsia="zh-CN"/>
        </w:rPr>
      </w:pPr>
      <w:bookmarkStart w:id="57" w:name="bookmark19"/>
      <w:bookmarkEnd w:id="57"/>
      <w:r>
        <w:rPr>
          <w:rFonts w:hint="eastAsia" w:ascii="宋体" w:hAnsi="宋体" w:cs="宋体"/>
          <w:bCs/>
          <w:sz w:val="24"/>
          <w:szCs w:val="24"/>
          <w:lang w:val="en-US" w:eastAsia="zh-CN"/>
        </w:rPr>
        <w:t>3、</w:t>
      </w:r>
      <w:r>
        <w:rPr>
          <w:rFonts w:hint="eastAsia" w:ascii="宋体" w:hAnsi="宋体" w:cs="宋体"/>
          <w:bCs/>
          <w:sz w:val="24"/>
          <w:szCs w:val="24"/>
          <w:lang w:eastAsia="zh-CN"/>
        </w:rPr>
        <w:t>推进规范化建设。按照工程等级相应的建设管理标准、水质监测标准、运营管理标准、管理服务标准建设。水源地选址应充 分考虑水源水质、水量和水源地污染源、风险源等因素，选择水质</w:t>
      </w:r>
      <w:r>
        <w:rPr>
          <w:rFonts w:hint="eastAsia" w:ascii="宋体" w:hAnsi="宋体" w:cs="宋体"/>
          <w:bCs/>
          <w:sz w:val="24"/>
          <w:szCs w:val="24"/>
          <w:lang w:val="en-US" w:eastAsia="zh-CN"/>
        </w:rPr>
        <w:t>III</w:t>
      </w:r>
      <w:r>
        <w:rPr>
          <w:rFonts w:hint="eastAsia" w:ascii="宋体" w:hAnsi="宋体" w:cs="宋体"/>
          <w:bCs/>
          <w:sz w:val="24"/>
          <w:szCs w:val="24"/>
          <w:lang w:eastAsia="zh-CN"/>
        </w:rPr>
        <w:t>类以上的水源地，科学合理确定水源地；合理配置混凝反应、沉淀、过滤、滤后消毒等处置设施以及生产工艺；集中式供水的，应当 同步建设计量设施，强化计量收费，有条件的工程同步建设在线监控、视频安防等信息化设施。</w:t>
      </w:r>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规划长效运行管护机制</w:t>
      </w:r>
    </w:p>
    <w:p>
      <w:pPr>
        <w:pStyle w:val="71"/>
        <w:spacing w:line="360" w:lineRule="auto"/>
        <w:ind w:firstLine="584"/>
        <w:rPr>
          <w:rFonts w:hint="eastAsia" w:ascii="宋体" w:hAnsi="宋体" w:cs="宋体"/>
          <w:bCs/>
          <w:sz w:val="24"/>
          <w:szCs w:val="24"/>
          <w:lang w:eastAsia="zh-CN"/>
        </w:rPr>
      </w:pPr>
      <w:bookmarkStart w:id="58" w:name="bookmark21"/>
      <w:bookmarkEnd w:id="58"/>
      <w:r>
        <w:rPr>
          <w:rFonts w:hint="eastAsia" w:ascii="宋体" w:hAnsi="宋体" w:cs="宋体"/>
          <w:bCs/>
          <w:sz w:val="24"/>
          <w:szCs w:val="24"/>
          <w:lang w:val="en-US" w:eastAsia="zh-CN"/>
        </w:rPr>
        <w:t>1、</w:t>
      </w:r>
      <w:r>
        <w:rPr>
          <w:rFonts w:hint="eastAsia" w:ascii="宋体" w:hAnsi="宋体" w:cs="宋体"/>
          <w:bCs/>
          <w:sz w:val="24"/>
          <w:szCs w:val="24"/>
          <w:lang w:eastAsia="zh-CN"/>
        </w:rPr>
        <w:t>构建一体化运管体系。实施主体要抓好工程运行管理技术指导等工作，做到统一服务。统一水厂及供水设施运行服务标准，延伸服务范围，覆盖分散的用户，推进供水服务一体化，明确县级农村供水工程运行管理主体，承担县域内所有集中式农村供水工程、分散式供水设施的运行管理指导工作，具体实施方式各地结合实际操作。</w:t>
      </w:r>
    </w:p>
    <w:p>
      <w:pPr>
        <w:pStyle w:val="71"/>
        <w:spacing w:line="360" w:lineRule="auto"/>
        <w:ind w:firstLine="584"/>
        <w:rPr>
          <w:rFonts w:hint="eastAsia" w:ascii="宋体" w:hAnsi="宋体" w:cs="宋体"/>
          <w:bCs/>
          <w:sz w:val="24"/>
          <w:szCs w:val="24"/>
          <w:lang w:eastAsia="zh-CN"/>
        </w:rPr>
      </w:pPr>
      <w:bookmarkStart w:id="59" w:name="bookmark22"/>
      <w:bookmarkEnd w:id="59"/>
      <w:r>
        <w:rPr>
          <w:rFonts w:hint="eastAsia" w:ascii="宋体" w:hAnsi="宋体" w:cs="宋体"/>
          <w:bCs/>
          <w:sz w:val="24"/>
          <w:szCs w:val="24"/>
          <w:lang w:val="en-US" w:eastAsia="zh-CN"/>
        </w:rPr>
        <w:t>2、</w:t>
      </w:r>
      <w:r>
        <w:rPr>
          <w:rFonts w:hint="eastAsia" w:ascii="宋体" w:hAnsi="宋体" w:cs="宋体"/>
          <w:bCs/>
          <w:sz w:val="24"/>
          <w:szCs w:val="24"/>
          <w:lang w:eastAsia="zh-CN"/>
        </w:rPr>
        <w:t>压实供水单位责任。供水单位负责向用户提供符合水质、水量要求的供水服务，保障正常供水。供水单位要全面落实工程运行管护责任，落实人员做好水源巡查、工程运行管理、水质检测、水费计收和设施维修养护，供水水质、水量和水压符合国家规定标准。</w:t>
      </w:r>
    </w:p>
    <w:p>
      <w:pPr>
        <w:pStyle w:val="71"/>
        <w:spacing w:line="360" w:lineRule="auto"/>
        <w:ind w:firstLine="584"/>
        <w:rPr>
          <w:rFonts w:hint="eastAsia" w:ascii="宋体" w:hAnsi="宋体" w:cs="宋体"/>
          <w:bCs/>
          <w:sz w:val="24"/>
          <w:szCs w:val="24"/>
          <w:lang w:eastAsia="zh-CN"/>
        </w:rPr>
      </w:pPr>
      <w:r>
        <w:rPr>
          <w:rFonts w:hint="eastAsia" w:ascii="宋体" w:hAnsi="宋体" w:cs="宋体"/>
          <w:bCs/>
          <w:sz w:val="24"/>
          <w:szCs w:val="24"/>
          <w:lang w:val="en-US" w:eastAsia="zh-CN"/>
        </w:rPr>
        <w:t>3、</w:t>
      </w:r>
      <w:r>
        <w:rPr>
          <w:rFonts w:hint="eastAsia" w:ascii="宋体" w:hAnsi="宋体" w:cs="宋体"/>
          <w:bCs/>
          <w:sz w:val="24"/>
          <w:szCs w:val="24"/>
          <w:lang w:eastAsia="zh-CN"/>
        </w:rPr>
        <w:t>强化水费收缴。城乡供水实行有偿服务、计量收费。农村供水价格按照补偿成本、公平负担的原则合理确定，建立水价调 价机制，推行基本水价和计量水价相结合的两部制水价。根据工程运行、供水单位管理及用水户水费承受能力等因素，科学核算工程运行成本，开展价格成本调查，合理确定供水价格，并依法组织听证，向社会公布。全面落实供水水费收缴制度，确保工程正常运 行。对农村生活用水由政府定价且供水价格低于合理成本和建档立卡贫困户的安装入户费及基本水价部分，县级财政给予适当补贴。</w:t>
      </w:r>
    </w:p>
    <w:p>
      <w:pPr>
        <w:pStyle w:val="71"/>
        <w:spacing w:line="360" w:lineRule="auto"/>
        <w:ind w:firstLine="584"/>
        <w:rPr>
          <w:rFonts w:hint="eastAsia" w:ascii="宋体" w:hAnsi="宋体" w:cs="宋体"/>
          <w:bCs/>
          <w:sz w:val="24"/>
          <w:szCs w:val="24"/>
          <w:lang w:val="en-US" w:eastAsia="zh-CN"/>
        </w:rPr>
      </w:pPr>
      <w:r>
        <w:rPr>
          <w:rFonts w:hint="eastAsia" w:ascii="宋体" w:hAnsi="宋体" w:cs="宋体"/>
          <w:bCs/>
          <w:sz w:val="24"/>
          <w:szCs w:val="24"/>
          <w:lang w:val="en-US" w:eastAsia="zh-CN"/>
        </w:rPr>
        <w:t>4、</w:t>
      </w:r>
      <w:r>
        <w:rPr>
          <w:rFonts w:hint="eastAsia" w:ascii="宋体" w:hAnsi="宋体" w:cs="宋体"/>
          <w:bCs/>
          <w:sz w:val="24"/>
          <w:szCs w:val="24"/>
          <w:lang w:eastAsia="zh-CN"/>
        </w:rPr>
        <w:t>提高水质检测能力。政府要加强对农村供水水源的保护和供水水质的监督管理。强化农村供水水源地保护，制定落实饮用水水源保护区的划分、标志设立、环境整治、水源地水质监测、污染防治、卫生评价、卫生监督等农村饮用水水源保护和整治措施，确保水源水质达到国家规定的标准。强化供水净化消毒，供水单位应当设置水净化消毒设施，使用符合国家标准的 供水安全产品和消毒产品，建立健全水质检测制度，确保供水水质符合国家规定的生活饮用水卫生标准。切实提升水质检测监测能力，县域内区域水质检测中心及各类一体化供水工程（水厂）必须具有相应水质检测能力。</w:t>
      </w:r>
    </w:p>
    <w:p>
      <w:pPr>
        <w:tabs>
          <w:tab w:val="left" w:pos="0"/>
          <w:tab w:val="left" w:pos="915"/>
          <w:tab w:val="left" w:pos="1155"/>
          <w:tab w:val="left" w:pos="1575"/>
        </w:tabs>
        <w:adjustRightInd/>
        <w:snapToGrid/>
        <w:spacing w:line="360" w:lineRule="auto"/>
        <w:ind w:firstLine="568"/>
        <w:rPr>
          <w:rFonts w:hint="eastAsia" w:ascii="宋体" w:hAnsi="宋体" w:eastAsia="宋体" w:cs="宋体"/>
          <w:bCs/>
          <w:sz w:val="24"/>
          <w:szCs w:val="24"/>
        </w:rPr>
      </w:pP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r>
        <w:rPr>
          <w:rFonts w:hint="eastAsia" w:ascii="Times New Roman" w:hAnsi="Times New Roman" w:eastAsia="仿宋"/>
          <w:b/>
          <w:bCs/>
          <w:sz w:val="28"/>
          <w:szCs w:val="24"/>
        </w:rPr>
        <w:br w:type="page"/>
      </w:r>
      <w:bookmarkStart w:id="60" w:name="_Toc31666"/>
      <w:bookmarkStart w:id="61" w:name="_Toc10715"/>
      <w:bookmarkStart w:id="62" w:name="_Toc21390"/>
      <w:bookmarkStart w:id="63" w:name="_Toc31433"/>
      <w:r>
        <w:rPr>
          <w:rFonts w:hint="eastAsia" w:ascii="Times New Roman" w:hAnsi="Times New Roman" w:cs="Times New Roman"/>
          <w:b/>
          <w:bCs/>
          <w:kern w:val="0"/>
          <w:sz w:val="30"/>
          <w:szCs w:val="30"/>
          <w:highlight w:val="none"/>
          <w:lang w:val="en-US" w:eastAsia="zh-CN"/>
        </w:rPr>
        <w:t xml:space="preserve"> </w:t>
      </w:r>
      <w:bookmarkStart w:id="64" w:name="_Toc20110"/>
      <w:r>
        <w:rPr>
          <w:rFonts w:hint="eastAsia" w:ascii="Times New Roman" w:hAnsi="Times New Roman" w:cs="Times New Roman"/>
          <w:b/>
          <w:bCs/>
          <w:kern w:val="0"/>
          <w:sz w:val="30"/>
          <w:szCs w:val="30"/>
          <w:highlight w:val="none"/>
          <w:lang w:val="en-US" w:eastAsia="zh-CN"/>
        </w:rPr>
        <w:t>规划总体布局</w:t>
      </w:r>
      <w:bookmarkEnd w:id="60"/>
      <w:bookmarkEnd w:id="61"/>
      <w:bookmarkEnd w:id="62"/>
      <w:bookmarkEnd w:id="63"/>
      <w:bookmarkEnd w:id="64"/>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lang w:val="en-US" w:eastAsia="zh-CN"/>
        </w:rPr>
      </w:pPr>
      <w:bookmarkStart w:id="65" w:name="_Toc30596"/>
      <w:bookmarkStart w:id="66" w:name="_Toc29894"/>
      <w:bookmarkStart w:id="67" w:name="_Toc12205"/>
      <w:r>
        <w:rPr>
          <w:rFonts w:hint="eastAsia" w:ascii="宋体" w:hAnsi="宋体" w:eastAsia="宋体" w:cs="宋体"/>
          <w:b/>
          <w:bCs/>
          <w:kern w:val="2"/>
          <w:sz w:val="24"/>
          <w:szCs w:val="24"/>
          <w:lang w:val="en-US" w:eastAsia="zh-CN"/>
        </w:rPr>
        <w:t>水量供需平衡分析</w:t>
      </w:r>
      <w:bookmarkEnd w:id="65"/>
    </w:p>
    <w:p>
      <w:pPr>
        <w:keepNext/>
        <w:keepLines/>
        <w:widowControl w:val="0"/>
        <w:numPr>
          <w:ilvl w:val="2"/>
          <w:numId w:val="1"/>
        </w:numPr>
        <w:spacing w:line="360" w:lineRule="auto"/>
        <w:jc w:val="both"/>
        <w:outlineLvl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 xml:space="preserve"> 供水工程需水分析</w:t>
      </w:r>
    </w:p>
    <w:p>
      <w:pPr>
        <w:keepNext/>
        <w:keepLines/>
        <w:pageBreakBefore w:val="0"/>
        <w:widowControl w:val="0"/>
        <w:numPr>
          <w:ilvl w:val="3"/>
          <w:numId w:val="1"/>
        </w:numPr>
        <w:kinsoku/>
        <w:wordWrap/>
        <w:overflowPunct/>
        <w:topLinePunct w:val="0"/>
        <w:autoSpaceDE/>
        <w:autoSpaceDN/>
        <w:bidi w:val="0"/>
        <w:adjustRightInd/>
        <w:snapToGrid/>
        <w:spacing w:line="360" w:lineRule="auto"/>
        <w:ind w:left="1276" w:leftChars="0" w:firstLine="0" w:firstLineChars="0"/>
        <w:jc w:val="both"/>
        <w:textAlignment w:val="auto"/>
        <w:outlineLvl w:val="3"/>
        <w:rPr>
          <w:rFonts w:hint="default"/>
          <w:lang w:val="en-US" w:eastAsia="zh-CN"/>
        </w:rPr>
      </w:pPr>
      <w:r>
        <w:rPr>
          <w:rFonts w:hint="eastAsia" w:ascii="宋体" w:hAnsi="宋体" w:eastAsia="宋体" w:cs="Times New Roman"/>
          <w:b/>
          <w:bCs/>
          <w:kern w:val="2"/>
          <w:sz w:val="24"/>
          <w:szCs w:val="24"/>
          <w:lang w:val="en-US" w:eastAsia="zh-CN" w:bidi="ar-SA"/>
        </w:rPr>
        <w:t xml:space="preserve"> 社会经济指标预测</w:t>
      </w:r>
    </w:p>
    <w:p>
      <w:pPr>
        <w:adjustRightInd w:val="0"/>
        <w:snapToGrid w:val="0"/>
        <w:spacing w:line="360" w:lineRule="auto"/>
        <w:ind w:firstLine="446" w:firstLineChars="186"/>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本次规划社会经济指标预测主要依据</w:t>
      </w:r>
      <w:r>
        <w:rPr>
          <w:rFonts w:hint="eastAsia" w:ascii="Times New Roman" w:hAnsi="Times New Roman" w:eastAsia="宋体" w:cs="Times New Roman"/>
          <w:sz w:val="24"/>
          <w:szCs w:val="24"/>
          <w:highlight w:val="none"/>
          <w:lang w:val="en-US" w:eastAsia="zh-CN"/>
        </w:rPr>
        <w:t>德安县</w:t>
      </w:r>
      <w:r>
        <w:rPr>
          <w:rFonts w:hint="default" w:ascii="Times New Roman" w:hAnsi="Times New Roman" w:eastAsia="宋体" w:cs="Times New Roman"/>
          <w:sz w:val="24"/>
          <w:szCs w:val="24"/>
          <w:highlight w:val="none"/>
        </w:rPr>
        <w:t>年鉴、</w:t>
      </w:r>
      <w:r>
        <w:rPr>
          <w:rFonts w:hint="eastAsia" w:ascii="Times New Roman" w:hAnsi="Times New Roman" w:eastAsia="宋体" w:cs="Times New Roman"/>
          <w:sz w:val="24"/>
          <w:szCs w:val="24"/>
          <w:highlight w:val="none"/>
          <w:lang w:val="en-US" w:eastAsia="zh-CN"/>
        </w:rPr>
        <w:t>德安县</w:t>
      </w:r>
      <w:r>
        <w:rPr>
          <w:rFonts w:hint="default" w:ascii="Times New Roman" w:hAnsi="Times New Roman" w:eastAsia="宋体" w:cs="Times New Roman"/>
          <w:sz w:val="24"/>
          <w:szCs w:val="24"/>
          <w:highlight w:val="none"/>
        </w:rPr>
        <w:t>统计年鉴、</w:t>
      </w:r>
      <w:r>
        <w:rPr>
          <w:rFonts w:hint="eastAsia" w:ascii="Times New Roman" w:hAnsi="Times New Roman" w:eastAsia="宋体" w:cs="Times New Roman"/>
          <w:sz w:val="24"/>
          <w:szCs w:val="24"/>
          <w:highlight w:val="none"/>
          <w:lang w:val="en-US" w:eastAsia="zh-CN"/>
        </w:rPr>
        <w:t>德安县</w:t>
      </w:r>
      <w:r>
        <w:rPr>
          <w:rFonts w:hint="default" w:ascii="Times New Roman" w:hAnsi="Times New Roman" w:eastAsia="宋体" w:cs="Times New Roman"/>
          <w:sz w:val="24"/>
          <w:szCs w:val="24"/>
          <w:highlight w:val="none"/>
        </w:rPr>
        <w:t>国民经济和社会发展</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十</w:t>
      </w:r>
      <w:r>
        <w:rPr>
          <w:rFonts w:hint="eastAsia" w:ascii="Times New Roman" w:hAnsi="Times New Roman" w:eastAsia="宋体" w:cs="Times New Roman"/>
          <w:sz w:val="24"/>
          <w:szCs w:val="24"/>
          <w:highlight w:val="none"/>
          <w:lang w:val="en-US" w:eastAsia="zh-CN"/>
        </w:rPr>
        <w:t>四</w:t>
      </w:r>
      <w:r>
        <w:rPr>
          <w:rFonts w:hint="default" w:ascii="Times New Roman" w:hAnsi="Times New Roman" w:eastAsia="宋体" w:cs="Times New Roman"/>
          <w:sz w:val="24"/>
          <w:szCs w:val="24"/>
          <w:highlight w:val="none"/>
        </w:rPr>
        <w:t>五</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规划、</w:t>
      </w:r>
      <w:r>
        <w:rPr>
          <w:rFonts w:hint="eastAsia" w:ascii="Times New Roman" w:hAnsi="Times New Roman" w:eastAsia="宋体" w:cs="Times New Roman"/>
          <w:sz w:val="24"/>
          <w:szCs w:val="24"/>
          <w:highlight w:val="none"/>
          <w:lang w:val="en-US" w:eastAsia="zh-CN"/>
        </w:rPr>
        <w:t>德安县</w:t>
      </w:r>
      <w:r>
        <w:rPr>
          <w:rFonts w:hint="default" w:ascii="Times New Roman" w:hAnsi="Times New Roman" w:eastAsia="宋体" w:cs="Times New Roman"/>
          <w:sz w:val="24"/>
          <w:szCs w:val="24"/>
          <w:highlight w:val="none"/>
        </w:rPr>
        <w:t>城市和各乡镇总体规划、</w:t>
      </w:r>
      <w:r>
        <w:rPr>
          <w:rFonts w:hint="eastAsia" w:ascii="Times New Roman" w:hAnsi="Times New Roman" w:eastAsia="宋体" w:cs="Times New Roman"/>
          <w:sz w:val="24"/>
          <w:szCs w:val="24"/>
          <w:highlight w:val="none"/>
          <w:lang w:val="en-US" w:eastAsia="zh-CN"/>
        </w:rPr>
        <w:t>德安县</w:t>
      </w:r>
      <w:r>
        <w:rPr>
          <w:rFonts w:hint="default" w:ascii="Times New Roman" w:hAnsi="Times New Roman" w:eastAsia="宋体" w:cs="Times New Roman"/>
          <w:sz w:val="24"/>
          <w:szCs w:val="24"/>
          <w:highlight w:val="none"/>
        </w:rPr>
        <w:t>供水专项规划等有关文件进行</w:t>
      </w:r>
      <w:r>
        <w:rPr>
          <w:rFonts w:hint="default" w:ascii="Times New Roman" w:hAnsi="Times New Roman" w:eastAsia="宋体" w:cs="Times New Roman"/>
          <w:sz w:val="24"/>
          <w:szCs w:val="24"/>
          <w:highlight w:val="none"/>
          <w:lang w:eastAsia="zh-CN"/>
        </w:rPr>
        <w:t>。</w:t>
      </w:r>
    </w:p>
    <w:p>
      <w:pPr>
        <w:numPr>
          <w:ilvl w:val="0"/>
          <w:numId w:val="6"/>
        </w:numPr>
        <w:adjustRightInd w:val="0"/>
        <w:snapToGrid w:val="0"/>
        <w:spacing w:line="360" w:lineRule="auto"/>
        <w:ind w:firstLine="446" w:firstLineChars="186"/>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用水人口预测</w:t>
      </w:r>
    </w:p>
    <w:p>
      <w:pPr>
        <w:ind w:firstLine="480" w:firstLineChars="200"/>
        <w:rPr>
          <w:rFonts w:hint="eastAsia" w:ascii="宋体" w:hAnsi="宋体"/>
          <w:sz w:val="24"/>
        </w:rPr>
      </w:pPr>
      <w:r>
        <w:rPr>
          <w:rFonts w:hint="eastAsia" w:ascii="宋体" w:hAnsi="宋体"/>
          <w:sz w:val="24"/>
        </w:rPr>
        <w:t>规划现状年20</w:t>
      </w:r>
      <w:r>
        <w:rPr>
          <w:rFonts w:hint="eastAsia" w:ascii="宋体" w:hAnsi="宋体"/>
          <w:sz w:val="24"/>
          <w:lang w:val="en-US" w:eastAsia="zh-CN"/>
        </w:rPr>
        <w:t>20</w:t>
      </w:r>
      <w:r>
        <w:rPr>
          <w:rFonts w:hint="eastAsia" w:ascii="宋体" w:hAnsi="宋体"/>
          <w:sz w:val="24"/>
        </w:rPr>
        <w:t>年，德安县县域范围内总人口为</w:t>
      </w:r>
      <w:r>
        <w:rPr>
          <w:rFonts w:hint="eastAsia"/>
          <w:sz w:val="24"/>
          <w:lang w:val="en-US" w:eastAsia="zh-CN"/>
        </w:rPr>
        <w:t>176323</w:t>
      </w:r>
      <w:r>
        <w:rPr>
          <w:rFonts w:hint="eastAsia" w:ascii="宋体" w:hAnsi="宋体"/>
          <w:sz w:val="24"/>
        </w:rPr>
        <w:t>人，其中城市人口</w:t>
      </w:r>
      <w:r>
        <w:rPr>
          <w:rFonts w:hint="eastAsia"/>
          <w:sz w:val="24"/>
          <w:lang w:val="en-US" w:eastAsia="zh-CN"/>
        </w:rPr>
        <w:t>40912</w:t>
      </w:r>
      <w:r>
        <w:rPr>
          <w:rFonts w:hint="eastAsia" w:ascii="宋体" w:hAnsi="宋体"/>
          <w:sz w:val="24"/>
        </w:rPr>
        <w:t>人，城镇人口</w:t>
      </w:r>
      <w:r>
        <w:rPr>
          <w:rFonts w:hint="eastAsia" w:ascii="宋体" w:hAnsi="宋体"/>
          <w:sz w:val="24"/>
          <w:lang w:val="en-US" w:eastAsia="zh-CN"/>
        </w:rPr>
        <w:t>31014</w:t>
      </w:r>
      <w:r>
        <w:rPr>
          <w:rFonts w:hint="eastAsia" w:ascii="宋体" w:hAnsi="宋体"/>
          <w:sz w:val="24"/>
        </w:rPr>
        <w:t>人，农村人口</w:t>
      </w:r>
      <w:r>
        <w:rPr>
          <w:rFonts w:hint="eastAsia"/>
          <w:sz w:val="24"/>
          <w:lang w:val="en-US" w:eastAsia="zh-CN"/>
        </w:rPr>
        <w:t>104397</w:t>
      </w:r>
      <w:r>
        <w:rPr>
          <w:rFonts w:hint="eastAsia" w:ascii="宋体" w:hAnsi="宋体"/>
          <w:sz w:val="24"/>
        </w:rPr>
        <w:t>人。且整个人口存在从农村向城市转移的趋势，城市化率也越来越高。</w:t>
      </w:r>
    </w:p>
    <w:p>
      <w:pPr>
        <w:rPr>
          <w:rFonts w:hint="eastAsia"/>
        </w:rPr>
      </w:pPr>
      <w:r>
        <w:rPr>
          <w:rFonts w:hint="eastAsia"/>
        </w:rPr>
        <w:drawing>
          <wp:inline distT="0" distB="0" distL="114300" distR="114300">
            <wp:extent cx="5629910" cy="3640455"/>
            <wp:effectExtent l="0" t="0" r="8890" b="17145"/>
            <wp:docPr id="10" name="图片 19" descr="01水源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01水源分布"/>
                    <pic:cNvPicPr>
                      <a:picLocks noChangeAspect="1"/>
                    </pic:cNvPicPr>
                  </pic:nvPicPr>
                  <pic:blipFill>
                    <a:blip r:embed="rId18"/>
                    <a:srcRect b="4063"/>
                    <a:stretch>
                      <a:fillRect/>
                    </a:stretch>
                  </pic:blipFill>
                  <pic:spPr>
                    <a:xfrm>
                      <a:off x="0" y="0"/>
                      <a:ext cx="5629910" cy="3640455"/>
                    </a:xfrm>
                    <a:prstGeom prst="rect">
                      <a:avLst/>
                    </a:prstGeom>
                    <a:noFill/>
                    <a:ln>
                      <a:noFill/>
                    </a:ln>
                  </pic:spPr>
                </pic:pic>
              </a:graphicData>
            </a:graphic>
          </wp:inline>
        </w:drawing>
      </w:r>
    </w:p>
    <w:p>
      <w:pPr>
        <w:ind w:firstLine="480" w:firstLineChars="200"/>
        <w:rPr>
          <w:rFonts w:hint="eastAsia" w:ascii="宋体" w:hAnsi="宋体"/>
          <w:sz w:val="24"/>
        </w:rPr>
      </w:pPr>
      <w:r>
        <w:rPr>
          <w:rFonts w:hint="eastAsia" w:ascii="宋体" w:hAnsi="宋体"/>
          <w:sz w:val="24"/>
        </w:rPr>
        <w:t>依据上图，从地形上来看，西北高而东南低，西北部有幕阜山脉东延支脉，构成北部地表水的分水岭，南部为岷山山脉，构成南部地表水的分水岭，中部有彭山山脉。人口大多集中在山垅之间，以及县城周边的博阳河沿岸的平原地带。</w:t>
      </w:r>
    </w:p>
    <w:p>
      <w:pPr>
        <w:jc w:val="center"/>
        <w:rPr>
          <w:rFonts w:hint="eastAsia" w:ascii="宋体" w:hAnsi="宋体"/>
          <w:sz w:val="24"/>
        </w:rPr>
      </w:pPr>
    </w:p>
    <w:p>
      <w:pPr>
        <w:jc w:val="center"/>
        <w:rPr>
          <w:rFonts w:hint="eastAsia" w:ascii="宋体" w:hAnsi="宋体"/>
          <w:sz w:val="24"/>
        </w:rPr>
      </w:pPr>
      <w:r>
        <w:rPr>
          <w:rFonts w:hint="eastAsia" w:ascii="宋体" w:hAnsi="宋体"/>
          <w:sz w:val="24"/>
        </w:rPr>
        <w:t>20</w:t>
      </w:r>
      <w:r>
        <w:rPr>
          <w:rFonts w:hint="eastAsia" w:ascii="宋体" w:hAnsi="宋体"/>
          <w:sz w:val="24"/>
          <w:lang w:val="en-US" w:eastAsia="zh-CN"/>
        </w:rPr>
        <w:t>20</w:t>
      </w:r>
      <w:r>
        <w:rPr>
          <w:rFonts w:hint="eastAsia" w:ascii="宋体" w:hAnsi="宋体"/>
          <w:sz w:val="24"/>
        </w:rPr>
        <w:t>年乡镇城镇人口及农村人口分布表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76"/>
        <w:gridCol w:w="1299"/>
        <w:gridCol w:w="1309"/>
        <w:gridCol w:w="1309"/>
        <w:gridCol w:w="131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blHeader/>
          <w:jc w:val="center"/>
        </w:trPr>
        <w:tc>
          <w:tcPr>
            <w:tcW w:w="699" w:type="dxa"/>
            <w:noWrap w:val="0"/>
            <w:vAlign w:val="center"/>
          </w:tcPr>
          <w:p>
            <w:pPr>
              <w:jc w:val="center"/>
              <w:rPr>
                <w:sz w:val="24"/>
              </w:rPr>
            </w:pPr>
            <w:r>
              <w:rPr>
                <w:rFonts w:hint="eastAsia"/>
                <w:sz w:val="24"/>
              </w:rPr>
              <w:t>序号</w:t>
            </w:r>
          </w:p>
        </w:tc>
        <w:tc>
          <w:tcPr>
            <w:tcW w:w="1176" w:type="dxa"/>
            <w:noWrap w:val="0"/>
            <w:vAlign w:val="center"/>
          </w:tcPr>
          <w:p>
            <w:pPr>
              <w:jc w:val="center"/>
              <w:rPr>
                <w:sz w:val="24"/>
              </w:rPr>
            </w:pPr>
            <w:r>
              <w:rPr>
                <w:rFonts w:hint="eastAsia"/>
                <w:sz w:val="24"/>
              </w:rPr>
              <w:t>地区名称</w:t>
            </w:r>
          </w:p>
        </w:tc>
        <w:tc>
          <w:tcPr>
            <w:tcW w:w="1299" w:type="dxa"/>
            <w:noWrap w:val="0"/>
            <w:vAlign w:val="center"/>
          </w:tcPr>
          <w:p>
            <w:pPr>
              <w:jc w:val="center"/>
              <w:rPr>
                <w:rFonts w:hint="eastAsia" w:eastAsia="宋体"/>
                <w:sz w:val="24"/>
                <w:lang w:val="en-US" w:eastAsia="zh-CN"/>
              </w:rPr>
            </w:pPr>
            <w:r>
              <w:rPr>
                <w:rFonts w:hint="eastAsia"/>
                <w:sz w:val="24"/>
                <w:lang w:val="en-US" w:eastAsia="zh-CN"/>
              </w:rPr>
              <w:t>总户数</w:t>
            </w:r>
          </w:p>
        </w:tc>
        <w:tc>
          <w:tcPr>
            <w:tcW w:w="1309" w:type="dxa"/>
            <w:noWrap w:val="0"/>
            <w:vAlign w:val="center"/>
          </w:tcPr>
          <w:p>
            <w:pPr>
              <w:jc w:val="center"/>
              <w:rPr>
                <w:rFonts w:hint="eastAsia" w:eastAsia="宋体"/>
                <w:sz w:val="24"/>
                <w:lang w:eastAsia="zh-CN"/>
              </w:rPr>
            </w:pPr>
            <w:r>
              <w:rPr>
                <w:rFonts w:hint="eastAsia"/>
                <w:sz w:val="24"/>
                <w:lang w:val="en-US" w:eastAsia="zh-CN"/>
              </w:rPr>
              <w:t>总人口</w:t>
            </w:r>
          </w:p>
        </w:tc>
        <w:tc>
          <w:tcPr>
            <w:tcW w:w="1309" w:type="dxa"/>
            <w:noWrap w:val="0"/>
            <w:vAlign w:val="center"/>
          </w:tcPr>
          <w:p>
            <w:pPr>
              <w:jc w:val="center"/>
              <w:rPr>
                <w:rFonts w:hint="default" w:eastAsia="宋体"/>
                <w:sz w:val="24"/>
                <w:lang w:val="en-US" w:eastAsia="zh-CN"/>
              </w:rPr>
            </w:pPr>
            <w:r>
              <w:rPr>
                <w:rFonts w:hint="eastAsia"/>
                <w:sz w:val="24"/>
                <w:lang w:val="en-US" w:eastAsia="zh-CN"/>
              </w:rPr>
              <w:t>城镇人口</w:t>
            </w:r>
          </w:p>
        </w:tc>
        <w:tc>
          <w:tcPr>
            <w:tcW w:w="1310" w:type="dxa"/>
            <w:noWrap w:val="0"/>
            <w:vAlign w:val="center"/>
          </w:tcPr>
          <w:p>
            <w:pPr>
              <w:jc w:val="center"/>
              <w:rPr>
                <w:rFonts w:hint="default" w:eastAsia="宋体"/>
                <w:sz w:val="24"/>
                <w:lang w:val="en-US" w:eastAsia="zh-CN"/>
              </w:rPr>
            </w:pPr>
            <w:r>
              <w:rPr>
                <w:rFonts w:hint="eastAsia"/>
                <w:sz w:val="24"/>
                <w:lang w:val="en-US" w:eastAsia="zh-CN"/>
              </w:rPr>
              <w:t>乡村人口</w:t>
            </w:r>
          </w:p>
        </w:tc>
        <w:tc>
          <w:tcPr>
            <w:tcW w:w="1418" w:type="dxa"/>
            <w:noWrap w:val="0"/>
            <w:vAlign w:val="center"/>
          </w:tcPr>
          <w:p>
            <w:pPr>
              <w:jc w:val="center"/>
              <w:rPr>
                <w:rFonts w:hint="default"/>
                <w:sz w:val="24"/>
                <w:lang w:val="en-US" w:eastAsia="zh-CN"/>
              </w:rPr>
            </w:pPr>
            <w:r>
              <w:rPr>
                <w:rFonts w:hint="eastAsia"/>
                <w:sz w:val="24"/>
                <w:lang w:val="en-US" w:eastAsia="zh-CN"/>
              </w:rPr>
              <w:t>自然村数量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noWrap w:val="0"/>
            <w:vAlign w:val="center"/>
          </w:tcPr>
          <w:p>
            <w:pPr>
              <w:jc w:val="center"/>
              <w:rPr>
                <w:sz w:val="24"/>
              </w:rPr>
            </w:pPr>
            <w:r>
              <w:rPr>
                <w:rFonts w:hint="eastAsia"/>
                <w:sz w:val="24"/>
              </w:rPr>
              <w:t>1</w:t>
            </w:r>
          </w:p>
        </w:tc>
        <w:tc>
          <w:tcPr>
            <w:tcW w:w="1176" w:type="dxa"/>
            <w:noWrap w:val="0"/>
            <w:vAlign w:val="center"/>
          </w:tcPr>
          <w:p>
            <w:pPr>
              <w:jc w:val="center"/>
              <w:rPr>
                <w:rFonts w:hint="eastAsia"/>
                <w:sz w:val="24"/>
              </w:rPr>
            </w:pPr>
            <w:r>
              <w:rPr>
                <w:rFonts w:hint="eastAsia"/>
                <w:sz w:val="24"/>
              </w:rPr>
              <w:t>蒲亭镇</w:t>
            </w:r>
          </w:p>
        </w:tc>
        <w:tc>
          <w:tcPr>
            <w:tcW w:w="1299" w:type="dxa"/>
            <w:noWrap w:val="0"/>
            <w:vAlign w:val="center"/>
          </w:tcPr>
          <w:p>
            <w:pPr>
              <w:jc w:val="center"/>
              <w:rPr>
                <w:rFonts w:hint="default" w:eastAsia="宋体"/>
                <w:sz w:val="24"/>
                <w:lang w:val="en-US" w:eastAsia="zh-CN"/>
              </w:rPr>
            </w:pPr>
            <w:r>
              <w:rPr>
                <w:rFonts w:hint="eastAsia"/>
                <w:sz w:val="24"/>
                <w:lang w:val="en-US" w:eastAsia="zh-CN"/>
              </w:rPr>
              <w:t>14195</w:t>
            </w:r>
          </w:p>
        </w:tc>
        <w:tc>
          <w:tcPr>
            <w:tcW w:w="1309" w:type="dxa"/>
            <w:noWrap w:val="0"/>
            <w:vAlign w:val="center"/>
          </w:tcPr>
          <w:p>
            <w:pPr>
              <w:jc w:val="center"/>
              <w:rPr>
                <w:rFonts w:hint="default" w:eastAsia="宋体"/>
                <w:sz w:val="24"/>
                <w:lang w:val="en-US" w:eastAsia="zh-CN"/>
              </w:rPr>
            </w:pPr>
            <w:r>
              <w:rPr>
                <w:rFonts w:hint="eastAsia"/>
                <w:sz w:val="24"/>
                <w:lang w:val="en-US" w:eastAsia="zh-CN"/>
              </w:rPr>
              <w:t>40912</w:t>
            </w:r>
          </w:p>
        </w:tc>
        <w:tc>
          <w:tcPr>
            <w:tcW w:w="1309" w:type="dxa"/>
            <w:noWrap w:val="0"/>
            <w:vAlign w:val="center"/>
          </w:tcPr>
          <w:p>
            <w:pPr>
              <w:jc w:val="center"/>
              <w:rPr>
                <w:rFonts w:hint="default" w:eastAsia="宋体"/>
                <w:sz w:val="24"/>
                <w:lang w:val="en-US" w:eastAsia="zh-CN"/>
              </w:rPr>
            </w:pPr>
            <w:r>
              <w:rPr>
                <w:rFonts w:hint="eastAsia"/>
                <w:sz w:val="24"/>
                <w:lang w:val="en-US" w:eastAsia="zh-CN"/>
              </w:rPr>
              <w:t>40912</w:t>
            </w:r>
          </w:p>
        </w:tc>
        <w:tc>
          <w:tcPr>
            <w:tcW w:w="1310" w:type="dxa"/>
            <w:noWrap w:val="0"/>
            <w:vAlign w:val="center"/>
          </w:tcPr>
          <w:p>
            <w:pPr>
              <w:jc w:val="center"/>
              <w:rPr>
                <w:rFonts w:hint="eastAsia" w:eastAsia="宋体"/>
                <w:sz w:val="24"/>
                <w:lang w:val="en-US" w:eastAsia="zh-CN"/>
              </w:rPr>
            </w:pPr>
            <w:r>
              <w:rPr>
                <w:rFonts w:hint="eastAsia"/>
                <w:sz w:val="24"/>
                <w:lang w:val="en-US" w:eastAsia="zh-CN"/>
              </w:rPr>
              <w:t>0</w:t>
            </w:r>
          </w:p>
        </w:tc>
        <w:tc>
          <w:tcPr>
            <w:tcW w:w="1418" w:type="dxa"/>
            <w:noWrap w:val="0"/>
            <w:vAlign w:val="center"/>
          </w:tcPr>
          <w:p>
            <w:pPr>
              <w:jc w:val="center"/>
              <w:rPr>
                <w:rFonts w:hint="default" w:eastAsia="宋体"/>
                <w:sz w:val="24"/>
                <w:lang w:val="en-US" w:eastAsia="zh-CN"/>
              </w:rPr>
            </w:pPr>
            <w:r>
              <w:rPr>
                <w:rFonts w:hint="eastAsia"/>
                <w:sz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noWrap w:val="0"/>
            <w:vAlign w:val="center"/>
          </w:tcPr>
          <w:p>
            <w:pPr>
              <w:jc w:val="center"/>
              <w:rPr>
                <w:sz w:val="24"/>
              </w:rPr>
            </w:pPr>
            <w:r>
              <w:rPr>
                <w:rFonts w:hint="eastAsia"/>
                <w:sz w:val="24"/>
              </w:rPr>
              <w:t>2</w:t>
            </w:r>
          </w:p>
        </w:tc>
        <w:tc>
          <w:tcPr>
            <w:tcW w:w="1176" w:type="dxa"/>
            <w:noWrap w:val="0"/>
            <w:vAlign w:val="center"/>
          </w:tcPr>
          <w:p>
            <w:pPr>
              <w:jc w:val="center"/>
              <w:rPr>
                <w:rFonts w:hint="eastAsia"/>
                <w:sz w:val="24"/>
              </w:rPr>
            </w:pPr>
            <w:r>
              <w:rPr>
                <w:rFonts w:hint="eastAsia"/>
                <w:sz w:val="24"/>
              </w:rPr>
              <w:t>河东乡</w:t>
            </w:r>
          </w:p>
        </w:tc>
        <w:tc>
          <w:tcPr>
            <w:tcW w:w="1299" w:type="dxa"/>
            <w:noWrap w:val="0"/>
            <w:vAlign w:val="center"/>
          </w:tcPr>
          <w:p>
            <w:pPr>
              <w:jc w:val="center"/>
              <w:rPr>
                <w:rFonts w:hint="default" w:eastAsia="宋体"/>
                <w:sz w:val="24"/>
                <w:lang w:val="en-US" w:eastAsia="zh-CN"/>
              </w:rPr>
            </w:pPr>
            <w:r>
              <w:rPr>
                <w:rFonts w:hint="eastAsia"/>
                <w:sz w:val="24"/>
                <w:lang w:val="en-US" w:eastAsia="zh-CN"/>
              </w:rPr>
              <w:t>4677</w:t>
            </w:r>
          </w:p>
        </w:tc>
        <w:tc>
          <w:tcPr>
            <w:tcW w:w="1309" w:type="dxa"/>
            <w:noWrap w:val="0"/>
            <w:vAlign w:val="center"/>
          </w:tcPr>
          <w:p>
            <w:pPr>
              <w:jc w:val="center"/>
              <w:rPr>
                <w:rFonts w:hint="default" w:eastAsia="宋体"/>
                <w:sz w:val="24"/>
                <w:lang w:val="en-US" w:eastAsia="zh-CN"/>
              </w:rPr>
            </w:pPr>
            <w:r>
              <w:rPr>
                <w:rFonts w:hint="eastAsia"/>
                <w:sz w:val="24"/>
                <w:lang w:val="en-US" w:eastAsia="zh-CN"/>
              </w:rPr>
              <w:t>13430</w:t>
            </w:r>
          </w:p>
        </w:tc>
        <w:tc>
          <w:tcPr>
            <w:tcW w:w="1309" w:type="dxa"/>
            <w:noWrap w:val="0"/>
            <w:vAlign w:val="center"/>
          </w:tcPr>
          <w:p>
            <w:pPr>
              <w:jc w:val="center"/>
              <w:rPr>
                <w:rFonts w:hint="default" w:eastAsia="宋体"/>
                <w:sz w:val="24"/>
                <w:lang w:val="en-US" w:eastAsia="zh-CN"/>
              </w:rPr>
            </w:pPr>
            <w:r>
              <w:rPr>
                <w:rFonts w:hint="eastAsia"/>
                <w:sz w:val="24"/>
                <w:lang w:val="en-US" w:eastAsia="zh-CN"/>
              </w:rPr>
              <w:t>5679</w:t>
            </w:r>
          </w:p>
        </w:tc>
        <w:tc>
          <w:tcPr>
            <w:tcW w:w="1310" w:type="dxa"/>
            <w:noWrap w:val="0"/>
            <w:vAlign w:val="center"/>
          </w:tcPr>
          <w:p>
            <w:pPr>
              <w:jc w:val="center"/>
              <w:rPr>
                <w:rFonts w:hint="default" w:eastAsia="宋体"/>
                <w:sz w:val="24"/>
                <w:lang w:val="en-US" w:eastAsia="zh-CN"/>
              </w:rPr>
            </w:pPr>
            <w:r>
              <w:rPr>
                <w:rFonts w:hint="eastAsia"/>
                <w:sz w:val="24"/>
                <w:lang w:val="en-US" w:eastAsia="zh-CN"/>
              </w:rPr>
              <w:t>7751</w:t>
            </w:r>
          </w:p>
        </w:tc>
        <w:tc>
          <w:tcPr>
            <w:tcW w:w="1418" w:type="dxa"/>
            <w:noWrap w:val="0"/>
            <w:vAlign w:val="center"/>
          </w:tcPr>
          <w:p>
            <w:pPr>
              <w:jc w:val="center"/>
              <w:rPr>
                <w:rFonts w:hint="default" w:eastAsia="宋体"/>
                <w:sz w:val="24"/>
                <w:lang w:val="en-US" w:eastAsia="zh-CN"/>
              </w:rPr>
            </w:pPr>
            <w:r>
              <w:rPr>
                <w:rFonts w:hint="eastAsia"/>
                <w:sz w:val="24"/>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noWrap w:val="0"/>
            <w:vAlign w:val="center"/>
          </w:tcPr>
          <w:p>
            <w:pPr>
              <w:jc w:val="center"/>
              <w:rPr>
                <w:sz w:val="24"/>
              </w:rPr>
            </w:pPr>
            <w:r>
              <w:rPr>
                <w:rFonts w:hint="eastAsia"/>
                <w:sz w:val="24"/>
              </w:rPr>
              <w:t>3</w:t>
            </w:r>
          </w:p>
        </w:tc>
        <w:tc>
          <w:tcPr>
            <w:tcW w:w="1176" w:type="dxa"/>
            <w:noWrap w:val="0"/>
            <w:vAlign w:val="center"/>
          </w:tcPr>
          <w:p>
            <w:pPr>
              <w:jc w:val="center"/>
              <w:rPr>
                <w:rFonts w:hint="eastAsia"/>
                <w:sz w:val="24"/>
              </w:rPr>
            </w:pPr>
            <w:r>
              <w:rPr>
                <w:rFonts w:hint="eastAsia"/>
                <w:sz w:val="24"/>
              </w:rPr>
              <w:t>宝塔乡</w:t>
            </w:r>
          </w:p>
        </w:tc>
        <w:tc>
          <w:tcPr>
            <w:tcW w:w="1299" w:type="dxa"/>
            <w:noWrap w:val="0"/>
            <w:vAlign w:val="center"/>
          </w:tcPr>
          <w:p>
            <w:pPr>
              <w:jc w:val="center"/>
              <w:rPr>
                <w:rFonts w:hint="default" w:eastAsia="宋体"/>
                <w:sz w:val="24"/>
                <w:lang w:val="en-US" w:eastAsia="zh-CN"/>
              </w:rPr>
            </w:pPr>
            <w:r>
              <w:rPr>
                <w:rFonts w:hint="eastAsia"/>
                <w:sz w:val="24"/>
                <w:lang w:val="en-US" w:eastAsia="zh-CN"/>
              </w:rPr>
              <w:t>5138</w:t>
            </w:r>
          </w:p>
        </w:tc>
        <w:tc>
          <w:tcPr>
            <w:tcW w:w="1309" w:type="dxa"/>
            <w:noWrap w:val="0"/>
            <w:vAlign w:val="center"/>
          </w:tcPr>
          <w:p>
            <w:pPr>
              <w:jc w:val="center"/>
              <w:rPr>
                <w:rFonts w:hint="default" w:eastAsia="宋体"/>
                <w:sz w:val="24"/>
                <w:lang w:val="en-US" w:eastAsia="zh-CN"/>
              </w:rPr>
            </w:pPr>
            <w:r>
              <w:rPr>
                <w:rFonts w:hint="eastAsia"/>
                <w:sz w:val="24"/>
                <w:lang w:val="en-US" w:eastAsia="zh-CN"/>
              </w:rPr>
              <w:t>16125</w:t>
            </w:r>
          </w:p>
        </w:tc>
        <w:tc>
          <w:tcPr>
            <w:tcW w:w="1309" w:type="dxa"/>
            <w:noWrap w:val="0"/>
            <w:vAlign w:val="center"/>
          </w:tcPr>
          <w:p>
            <w:pPr>
              <w:jc w:val="center"/>
              <w:rPr>
                <w:rFonts w:hint="default" w:eastAsia="宋体"/>
                <w:sz w:val="24"/>
                <w:lang w:val="en-US" w:eastAsia="zh-CN"/>
              </w:rPr>
            </w:pPr>
            <w:r>
              <w:rPr>
                <w:rFonts w:hint="eastAsia"/>
                <w:sz w:val="24"/>
                <w:lang w:val="en-US" w:eastAsia="zh-CN"/>
              </w:rPr>
              <w:t>9938</w:t>
            </w:r>
          </w:p>
        </w:tc>
        <w:tc>
          <w:tcPr>
            <w:tcW w:w="1310" w:type="dxa"/>
            <w:noWrap w:val="0"/>
            <w:vAlign w:val="center"/>
          </w:tcPr>
          <w:p>
            <w:pPr>
              <w:jc w:val="center"/>
              <w:rPr>
                <w:rFonts w:hint="default" w:eastAsia="宋体"/>
                <w:sz w:val="24"/>
                <w:lang w:val="en-US" w:eastAsia="zh-CN"/>
              </w:rPr>
            </w:pPr>
            <w:r>
              <w:rPr>
                <w:rFonts w:hint="eastAsia"/>
                <w:sz w:val="24"/>
                <w:lang w:val="en-US" w:eastAsia="zh-CN"/>
              </w:rPr>
              <w:t>6277</w:t>
            </w:r>
          </w:p>
        </w:tc>
        <w:tc>
          <w:tcPr>
            <w:tcW w:w="1418" w:type="dxa"/>
            <w:noWrap w:val="0"/>
            <w:vAlign w:val="center"/>
          </w:tcPr>
          <w:p>
            <w:pPr>
              <w:jc w:val="center"/>
              <w:rPr>
                <w:rFonts w:hint="default" w:eastAsia="宋体"/>
                <w:sz w:val="24"/>
                <w:lang w:val="en-US" w:eastAsia="zh-CN"/>
              </w:rPr>
            </w:pPr>
            <w:r>
              <w:rPr>
                <w:rFonts w:hint="eastAsia"/>
                <w:sz w:val="24"/>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noWrap w:val="0"/>
            <w:vAlign w:val="center"/>
          </w:tcPr>
          <w:p>
            <w:pPr>
              <w:jc w:val="center"/>
              <w:rPr>
                <w:sz w:val="24"/>
              </w:rPr>
            </w:pPr>
            <w:r>
              <w:rPr>
                <w:rFonts w:hint="eastAsia"/>
                <w:sz w:val="24"/>
              </w:rPr>
              <w:t>4</w:t>
            </w:r>
          </w:p>
        </w:tc>
        <w:tc>
          <w:tcPr>
            <w:tcW w:w="1176" w:type="dxa"/>
            <w:noWrap w:val="0"/>
            <w:vAlign w:val="center"/>
          </w:tcPr>
          <w:p>
            <w:pPr>
              <w:jc w:val="center"/>
              <w:rPr>
                <w:rFonts w:hint="eastAsia"/>
                <w:sz w:val="24"/>
              </w:rPr>
            </w:pPr>
            <w:r>
              <w:rPr>
                <w:rFonts w:hint="eastAsia"/>
                <w:sz w:val="24"/>
              </w:rPr>
              <w:t>聂桥镇</w:t>
            </w:r>
          </w:p>
        </w:tc>
        <w:tc>
          <w:tcPr>
            <w:tcW w:w="1299" w:type="dxa"/>
            <w:noWrap w:val="0"/>
            <w:vAlign w:val="center"/>
          </w:tcPr>
          <w:p>
            <w:pPr>
              <w:jc w:val="center"/>
              <w:rPr>
                <w:rFonts w:hint="default" w:eastAsia="宋体"/>
                <w:sz w:val="24"/>
                <w:lang w:val="en-US" w:eastAsia="zh-CN"/>
              </w:rPr>
            </w:pPr>
            <w:r>
              <w:rPr>
                <w:rFonts w:hint="eastAsia"/>
                <w:sz w:val="24"/>
                <w:lang w:val="en-US" w:eastAsia="zh-CN"/>
              </w:rPr>
              <w:t>3288</w:t>
            </w:r>
          </w:p>
        </w:tc>
        <w:tc>
          <w:tcPr>
            <w:tcW w:w="1309" w:type="dxa"/>
            <w:noWrap w:val="0"/>
            <w:vAlign w:val="center"/>
          </w:tcPr>
          <w:p>
            <w:pPr>
              <w:jc w:val="center"/>
              <w:rPr>
                <w:rFonts w:hint="default" w:eastAsia="宋体"/>
                <w:sz w:val="24"/>
                <w:lang w:val="en-US" w:eastAsia="zh-CN"/>
              </w:rPr>
            </w:pPr>
            <w:r>
              <w:rPr>
                <w:rFonts w:hint="eastAsia"/>
                <w:sz w:val="24"/>
                <w:lang w:val="en-US" w:eastAsia="zh-CN"/>
              </w:rPr>
              <w:t>10255</w:t>
            </w:r>
          </w:p>
        </w:tc>
        <w:tc>
          <w:tcPr>
            <w:tcW w:w="1309" w:type="dxa"/>
            <w:noWrap w:val="0"/>
            <w:vAlign w:val="center"/>
          </w:tcPr>
          <w:p>
            <w:pPr>
              <w:jc w:val="center"/>
              <w:rPr>
                <w:rFonts w:hint="default" w:eastAsia="宋体"/>
                <w:sz w:val="24"/>
                <w:lang w:val="en-US" w:eastAsia="zh-CN"/>
              </w:rPr>
            </w:pPr>
            <w:r>
              <w:rPr>
                <w:rFonts w:hint="eastAsia"/>
                <w:sz w:val="24"/>
                <w:lang w:val="en-US" w:eastAsia="zh-CN"/>
              </w:rPr>
              <w:t>5693</w:t>
            </w:r>
          </w:p>
        </w:tc>
        <w:tc>
          <w:tcPr>
            <w:tcW w:w="1310" w:type="dxa"/>
            <w:noWrap w:val="0"/>
            <w:vAlign w:val="center"/>
          </w:tcPr>
          <w:p>
            <w:pPr>
              <w:jc w:val="center"/>
              <w:rPr>
                <w:rFonts w:hint="default" w:eastAsia="宋体"/>
                <w:sz w:val="24"/>
                <w:lang w:val="en-US" w:eastAsia="zh-CN"/>
              </w:rPr>
            </w:pPr>
            <w:r>
              <w:rPr>
                <w:rFonts w:hint="eastAsia"/>
                <w:sz w:val="24"/>
                <w:lang w:val="en-US" w:eastAsia="zh-CN"/>
              </w:rPr>
              <w:t>4562</w:t>
            </w:r>
          </w:p>
        </w:tc>
        <w:tc>
          <w:tcPr>
            <w:tcW w:w="1418" w:type="dxa"/>
            <w:noWrap w:val="0"/>
            <w:vAlign w:val="center"/>
          </w:tcPr>
          <w:p>
            <w:pPr>
              <w:jc w:val="center"/>
              <w:rPr>
                <w:rFonts w:hint="default" w:eastAsia="宋体"/>
                <w:sz w:val="24"/>
                <w:lang w:val="en-US" w:eastAsia="zh-CN"/>
              </w:rPr>
            </w:pPr>
            <w:r>
              <w:rPr>
                <w:rFonts w:hint="eastAsia"/>
                <w:sz w:val="24"/>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noWrap w:val="0"/>
            <w:vAlign w:val="center"/>
          </w:tcPr>
          <w:p>
            <w:pPr>
              <w:jc w:val="center"/>
              <w:rPr>
                <w:sz w:val="24"/>
              </w:rPr>
            </w:pPr>
            <w:r>
              <w:rPr>
                <w:rFonts w:hint="eastAsia"/>
                <w:sz w:val="24"/>
              </w:rPr>
              <w:t>5</w:t>
            </w:r>
          </w:p>
        </w:tc>
        <w:tc>
          <w:tcPr>
            <w:tcW w:w="1176" w:type="dxa"/>
            <w:noWrap w:val="0"/>
            <w:vAlign w:val="center"/>
          </w:tcPr>
          <w:p>
            <w:pPr>
              <w:jc w:val="center"/>
              <w:rPr>
                <w:rFonts w:hint="eastAsia"/>
                <w:sz w:val="24"/>
              </w:rPr>
            </w:pPr>
            <w:r>
              <w:rPr>
                <w:rFonts w:hint="eastAsia"/>
                <w:sz w:val="24"/>
              </w:rPr>
              <w:t>磨溪乡</w:t>
            </w:r>
          </w:p>
        </w:tc>
        <w:tc>
          <w:tcPr>
            <w:tcW w:w="1299" w:type="dxa"/>
            <w:noWrap w:val="0"/>
            <w:vAlign w:val="center"/>
          </w:tcPr>
          <w:p>
            <w:pPr>
              <w:jc w:val="center"/>
              <w:rPr>
                <w:rFonts w:hint="default" w:eastAsia="宋体"/>
                <w:sz w:val="24"/>
                <w:lang w:val="en-US" w:eastAsia="zh-CN"/>
              </w:rPr>
            </w:pPr>
            <w:r>
              <w:rPr>
                <w:rFonts w:hint="eastAsia"/>
                <w:sz w:val="24"/>
                <w:lang w:val="en-US" w:eastAsia="zh-CN"/>
              </w:rPr>
              <w:t>3647</w:t>
            </w:r>
          </w:p>
        </w:tc>
        <w:tc>
          <w:tcPr>
            <w:tcW w:w="1309" w:type="dxa"/>
            <w:noWrap w:val="0"/>
            <w:vAlign w:val="center"/>
          </w:tcPr>
          <w:p>
            <w:pPr>
              <w:jc w:val="center"/>
              <w:rPr>
                <w:rFonts w:hint="default" w:eastAsia="宋体"/>
                <w:sz w:val="24"/>
                <w:lang w:val="en-US" w:eastAsia="zh-CN"/>
              </w:rPr>
            </w:pPr>
            <w:r>
              <w:rPr>
                <w:rFonts w:hint="eastAsia"/>
                <w:sz w:val="24"/>
                <w:lang w:val="en-US" w:eastAsia="zh-CN"/>
              </w:rPr>
              <w:t>12390</w:t>
            </w:r>
          </w:p>
        </w:tc>
        <w:tc>
          <w:tcPr>
            <w:tcW w:w="1309" w:type="dxa"/>
            <w:noWrap w:val="0"/>
            <w:vAlign w:val="center"/>
          </w:tcPr>
          <w:p>
            <w:pPr>
              <w:jc w:val="center"/>
              <w:rPr>
                <w:rFonts w:hint="default" w:eastAsia="宋体"/>
                <w:sz w:val="24"/>
                <w:lang w:val="en-US" w:eastAsia="zh-CN"/>
              </w:rPr>
            </w:pPr>
            <w:r>
              <w:rPr>
                <w:rFonts w:hint="eastAsia"/>
                <w:sz w:val="24"/>
                <w:lang w:val="en-US" w:eastAsia="zh-CN"/>
              </w:rPr>
              <w:t>340</w:t>
            </w:r>
          </w:p>
        </w:tc>
        <w:tc>
          <w:tcPr>
            <w:tcW w:w="1310" w:type="dxa"/>
            <w:noWrap w:val="0"/>
            <w:vAlign w:val="center"/>
          </w:tcPr>
          <w:p>
            <w:pPr>
              <w:jc w:val="center"/>
              <w:rPr>
                <w:rFonts w:hint="default" w:eastAsia="宋体"/>
                <w:sz w:val="24"/>
                <w:lang w:val="en-US" w:eastAsia="zh-CN"/>
              </w:rPr>
            </w:pPr>
            <w:r>
              <w:rPr>
                <w:rFonts w:hint="eastAsia"/>
                <w:sz w:val="24"/>
                <w:lang w:val="en-US" w:eastAsia="zh-CN"/>
              </w:rPr>
              <w:t>12050</w:t>
            </w:r>
          </w:p>
        </w:tc>
        <w:tc>
          <w:tcPr>
            <w:tcW w:w="1418" w:type="dxa"/>
            <w:noWrap w:val="0"/>
            <w:vAlign w:val="center"/>
          </w:tcPr>
          <w:p>
            <w:pPr>
              <w:jc w:val="center"/>
              <w:rPr>
                <w:rFonts w:hint="default" w:eastAsia="宋体"/>
                <w:sz w:val="24"/>
                <w:lang w:val="en-US" w:eastAsia="zh-CN"/>
              </w:rPr>
            </w:pPr>
            <w:r>
              <w:rPr>
                <w:rFonts w:hint="eastAsia"/>
                <w:sz w:val="24"/>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noWrap w:val="0"/>
            <w:vAlign w:val="center"/>
          </w:tcPr>
          <w:p>
            <w:pPr>
              <w:jc w:val="center"/>
              <w:rPr>
                <w:rFonts w:hint="eastAsia"/>
                <w:sz w:val="24"/>
              </w:rPr>
            </w:pPr>
            <w:r>
              <w:rPr>
                <w:rFonts w:hint="eastAsia"/>
                <w:sz w:val="24"/>
              </w:rPr>
              <w:t>6</w:t>
            </w:r>
          </w:p>
        </w:tc>
        <w:tc>
          <w:tcPr>
            <w:tcW w:w="1176" w:type="dxa"/>
            <w:noWrap w:val="0"/>
            <w:vAlign w:val="center"/>
          </w:tcPr>
          <w:p>
            <w:pPr>
              <w:jc w:val="center"/>
              <w:rPr>
                <w:rFonts w:hint="eastAsia"/>
                <w:sz w:val="24"/>
              </w:rPr>
            </w:pPr>
            <w:r>
              <w:rPr>
                <w:rFonts w:hint="eastAsia"/>
                <w:sz w:val="24"/>
              </w:rPr>
              <w:t>丰林镇</w:t>
            </w:r>
          </w:p>
        </w:tc>
        <w:tc>
          <w:tcPr>
            <w:tcW w:w="1299" w:type="dxa"/>
            <w:noWrap w:val="0"/>
            <w:vAlign w:val="center"/>
          </w:tcPr>
          <w:p>
            <w:pPr>
              <w:jc w:val="center"/>
              <w:rPr>
                <w:rFonts w:hint="default" w:eastAsia="宋体"/>
                <w:sz w:val="24"/>
                <w:lang w:val="en-US" w:eastAsia="zh-CN"/>
              </w:rPr>
            </w:pPr>
            <w:r>
              <w:rPr>
                <w:rFonts w:hint="eastAsia"/>
                <w:sz w:val="24"/>
                <w:lang w:val="en-US" w:eastAsia="zh-CN"/>
              </w:rPr>
              <w:t>4895</w:t>
            </w:r>
          </w:p>
        </w:tc>
        <w:tc>
          <w:tcPr>
            <w:tcW w:w="1309" w:type="dxa"/>
            <w:noWrap w:val="0"/>
            <w:vAlign w:val="center"/>
          </w:tcPr>
          <w:p>
            <w:pPr>
              <w:jc w:val="center"/>
              <w:rPr>
                <w:rFonts w:hint="default" w:eastAsia="宋体"/>
                <w:sz w:val="24"/>
                <w:lang w:val="en-US" w:eastAsia="zh-CN"/>
              </w:rPr>
            </w:pPr>
            <w:r>
              <w:rPr>
                <w:rFonts w:hint="eastAsia"/>
                <w:sz w:val="24"/>
                <w:lang w:val="en-US" w:eastAsia="zh-CN"/>
              </w:rPr>
              <w:t>15850</w:t>
            </w:r>
          </w:p>
        </w:tc>
        <w:tc>
          <w:tcPr>
            <w:tcW w:w="1309" w:type="dxa"/>
            <w:noWrap w:val="0"/>
            <w:vAlign w:val="center"/>
          </w:tcPr>
          <w:p>
            <w:pPr>
              <w:jc w:val="center"/>
              <w:rPr>
                <w:rFonts w:hint="default" w:eastAsia="宋体"/>
                <w:sz w:val="24"/>
                <w:lang w:val="en-US" w:eastAsia="zh-CN"/>
              </w:rPr>
            </w:pPr>
            <w:r>
              <w:rPr>
                <w:rFonts w:hint="eastAsia"/>
                <w:sz w:val="24"/>
                <w:lang w:val="en-US" w:eastAsia="zh-CN"/>
              </w:rPr>
              <w:t>6595</w:t>
            </w:r>
          </w:p>
        </w:tc>
        <w:tc>
          <w:tcPr>
            <w:tcW w:w="1310" w:type="dxa"/>
            <w:noWrap w:val="0"/>
            <w:vAlign w:val="center"/>
          </w:tcPr>
          <w:p>
            <w:pPr>
              <w:jc w:val="center"/>
              <w:rPr>
                <w:rFonts w:hint="default" w:eastAsia="宋体"/>
                <w:sz w:val="24"/>
                <w:lang w:val="en-US" w:eastAsia="zh-CN"/>
              </w:rPr>
            </w:pPr>
            <w:r>
              <w:rPr>
                <w:rFonts w:hint="eastAsia"/>
                <w:sz w:val="24"/>
                <w:lang w:val="en-US" w:eastAsia="zh-CN"/>
              </w:rPr>
              <w:t>9255</w:t>
            </w:r>
          </w:p>
        </w:tc>
        <w:tc>
          <w:tcPr>
            <w:tcW w:w="1418" w:type="dxa"/>
            <w:noWrap w:val="0"/>
            <w:vAlign w:val="center"/>
          </w:tcPr>
          <w:p>
            <w:pPr>
              <w:jc w:val="center"/>
              <w:rPr>
                <w:rFonts w:hint="default" w:eastAsia="宋体"/>
                <w:sz w:val="24"/>
                <w:lang w:val="en-US" w:eastAsia="zh-CN"/>
              </w:rPr>
            </w:pPr>
            <w:r>
              <w:rPr>
                <w:rFonts w:hint="eastAsia"/>
                <w:sz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7</w:t>
            </w:r>
          </w:p>
        </w:tc>
        <w:tc>
          <w:tcPr>
            <w:tcW w:w="1176" w:type="dxa"/>
            <w:noWrap w:val="0"/>
            <w:vAlign w:val="center"/>
          </w:tcPr>
          <w:p>
            <w:pPr>
              <w:jc w:val="center"/>
              <w:rPr>
                <w:rFonts w:hint="eastAsia"/>
                <w:sz w:val="24"/>
              </w:rPr>
            </w:pPr>
            <w:r>
              <w:rPr>
                <w:rFonts w:hint="eastAsia"/>
                <w:sz w:val="24"/>
              </w:rPr>
              <w:t>林泉乡</w:t>
            </w:r>
          </w:p>
        </w:tc>
        <w:tc>
          <w:tcPr>
            <w:tcW w:w="1299" w:type="dxa"/>
            <w:noWrap w:val="0"/>
            <w:vAlign w:val="center"/>
          </w:tcPr>
          <w:p>
            <w:pPr>
              <w:jc w:val="center"/>
              <w:rPr>
                <w:rFonts w:hint="default" w:eastAsia="宋体"/>
                <w:sz w:val="24"/>
                <w:lang w:val="en-US" w:eastAsia="zh-CN"/>
              </w:rPr>
            </w:pPr>
            <w:r>
              <w:rPr>
                <w:rFonts w:hint="eastAsia"/>
                <w:sz w:val="24"/>
                <w:lang w:val="en-US" w:eastAsia="zh-CN"/>
              </w:rPr>
              <w:t>3041</w:t>
            </w:r>
          </w:p>
        </w:tc>
        <w:tc>
          <w:tcPr>
            <w:tcW w:w="1309" w:type="dxa"/>
            <w:noWrap w:val="0"/>
            <w:vAlign w:val="center"/>
          </w:tcPr>
          <w:p>
            <w:pPr>
              <w:jc w:val="center"/>
              <w:rPr>
                <w:rFonts w:hint="default" w:eastAsia="宋体"/>
                <w:sz w:val="24"/>
                <w:lang w:val="en-US" w:eastAsia="zh-CN"/>
              </w:rPr>
            </w:pPr>
            <w:r>
              <w:rPr>
                <w:rFonts w:hint="eastAsia"/>
                <w:sz w:val="24"/>
                <w:lang w:val="en-US" w:eastAsia="zh-CN"/>
              </w:rPr>
              <w:t>10150</w:t>
            </w:r>
          </w:p>
        </w:tc>
        <w:tc>
          <w:tcPr>
            <w:tcW w:w="1309" w:type="dxa"/>
            <w:noWrap w:val="0"/>
            <w:vAlign w:val="center"/>
          </w:tcPr>
          <w:p>
            <w:pPr>
              <w:jc w:val="center"/>
              <w:rPr>
                <w:rFonts w:hint="eastAsia" w:eastAsia="宋体"/>
                <w:sz w:val="24"/>
                <w:lang w:val="en-US" w:eastAsia="zh-CN"/>
              </w:rPr>
            </w:pPr>
            <w:r>
              <w:rPr>
                <w:rFonts w:hint="eastAsia"/>
                <w:sz w:val="24"/>
                <w:lang w:val="en-US" w:eastAsia="zh-CN"/>
              </w:rPr>
              <w:t>0</w:t>
            </w:r>
          </w:p>
        </w:tc>
        <w:tc>
          <w:tcPr>
            <w:tcW w:w="1310" w:type="dxa"/>
            <w:noWrap w:val="0"/>
            <w:vAlign w:val="center"/>
          </w:tcPr>
          <w:p>
            <w:pPr>
              <w:jc w:val="center"/>
              <w:rPr>
                <w:rFonts w:hint="default" w:eastAsia="宋体"/>
                <w:sz w:val="24"/>
                <w:lang w:val="en-US" w:eastAsia="zh-CN"/>
              </w:rPr>
            </w:pPr>
            <w:r>
              <w:rPr>
                <w:rFonts w:hint="eastAsia"/>
                <w:sz w:val="24"/>
                <w:lang w:val="en-US" w:eastAsia="zh-CN"/>
              </w:rPr>
              <w:t>10150</w:t>
            </w:r>
          </w:p>
        </w:tc>
        <w:tc>
          <w:tcPr>
            <w:tcW w:w="1418" w:type="dxa"/>
            <w:noWrap w:val="0"/>
            <w:vAlign w:val="center"/>
          </w:tcPr>
          <w:p>
            <w:pPr>
              <w:jc w:val="center"/>
              <w:rPr>
                <w:rFonts w:hint="default" w:eastAsia="宋体"/>
                <w:sz w:val="24"/>
                <w:lang w:val="en-US" w:eastAsia="zh-CN"/>
              </w:rPr>
            </w:pPr>
            <w:r>
              <w:rPr>
                <w:rFonts w:hint="eastAsia"/>
                <w:sz w:val="24"/>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8</w:t>
            </w:r>
          </w:p>
        </w:tc>
        <w:tc>
          <w:tcPr>
            <w:tcW w:w="1176" w:type="dxa"/>
            <w:noWrap w:val="0"/>
            <w:vAlign w:val="center"/>
          </w:tcPr>
          <w:p>
            <w:pPr>
              <w:jc w:val="center"/>
              <w:rPr>
                <w:rFonts w:hint="eastAsia"/>
                <w:sz w:val="24"/>
              </w:rPr>
            </w:pPr>
            <w:r>
              <w:rPr>
                <w:rFonts w:hint="eastAsia"/>
                <w:sz w:val="24"/>
              </w:rPr>
              <w:t>高塘乡</w:t>
            </w:r>
          </w:p>
        </w:tc>
        <w:tc>
          <w:tcPr>
            <w:tcW w:w="1299" w:type="dxa"/>
            <w:noWrap w:val="0"/>
            <w:vAlign w:val="center"/>
          </w:tcPr>
          <w:p>
            <w:pPr>
              <w:jc w:val="center"/>
              <w:rPr>
                <w:rFonts w:hint="default" w:eastAsia="宋体"/>
                <w:sz w:val="24"/>
                <w:lang w:val="en-US" w:eastAsia="zh-CN"/>
              </w:rPr>
            </w:pPr>
            <w:r>
              <w:rPr>
                <w:rFonts w:hint="eastAsia"/>
                <w:sz w:val="24"/>
                <w:lang w:val="en-US" w:eastAsia="zh-CN"/>
              </w:rPr>
              <w:t>2461</w:t>
            </w:r>
          </w:p>
        </w:tc>
        <w:tc>
          <w:tcPr>
            <w:tcW w:w="1309" w:type="dxa"/>
            <w:noWrap w:val="0"/>
            <w:vAlign w:val="center"/>
          </w:tcPr>
          <w:p>
            <w:pPr>
              <w:jc w:val="center"/>
              <w:rPr>
                <w:rFonts w:hint="default" w:eastAsia="宋体"/>
                <w:sz w:val="24"/>
                <w:lang w:val="en-US" w:eastAsia="zh-CN"/>
              </w:rPr>
            </w:pPr>
            <w:r>
              <w:rPr>
                <w:rFonts w:hint="eastAsia"/>
                <w:sz w:val="24"/>
                <w:lang w:val="en-US" w:eastAsia="zh-CN"/>
              </w:rPr>
              <w:t>8020</w:t>
            </w:r>
          </w:p>
        </w:tc>
        <w:tc>
          <w:tcPr>
            <w:tcW w:w="1309" w:type="dxa"/>
            <w:noWrap w:val="0"/>
            <w:vAlign w:val="center"/>
          </w:tcPr>
          <w:p>
            <w:pPr>
              <w:jc w:val="center"/>
              <w:rPr>
                <w:rFonts w:hint="eastAsia" w:eastAsia="宋体"/>
                <w:sz w:val="24"/>
                <w:lang w:val="en-US" w:eastAsia="zh-CN"/>
              </w:rPr>
            </w:pPr>
            <w:r>
              <w:rPr>
                <w:rFonts w:hint="eastAsia"/>
                <w:sz w:val="24"/>
                <w:lang w:val="en-US" w:eastAsia="zh-CN"/>
              </w:rPr>
              <w:t>0</w:t>
            </w:r>
          </w:p>
        </w:tc>
        <w:tc>
          <w:tcPr>
            <w:tcW w:w="1310" w:type="dxa"/>
            <w:noWrap w:val="0"/>
            <w:vAlign w:val="center"/>
          </w:tcPr>
          <w:p>
            <w:pPr>
              <w:jc w:val="center"/>
              <w:rPr>
                <w:rFonts w:hint="default" w:eastAsia="宋体"/>
                <w:sz w:val="24"/>
                <w:lang w:val="en-US" w:eastAsia="zh-CN"/>
              </w:rPr>
            </w:pPr>
            <w:r>
              <w:rPr>
                <w:rFonts w:hint="eastAsia"/>
                <w:sz w:val="24"/>
                <w:lang w:val="en-US" w:eastAsia="zh-CN"/>
              </w:rPr>
              <w:t>8020</w:t>
            </w:r>
          </w:p>
        </w:tc>
        <w:tc>
          <w:tcPr>
            <w:tcW w:w="1418" w:type="dxa"/>
            <w:noWrap w:val="0"/>
            <w:vAlign w:val="center"/>
          </w:tcPr>
          <w:p>
            <w:pPr>
              <w:jc w:val="center"/>
              <w:rPr>
                <w:rFonts w:hint="default" w:eastAsia="宋体"/>
                <w:sz w:val="24"/>
                <w:lang w:val="en-US" w:eastAsia="zh-CN"/>
              </w:rPr>
            </w:pPr>
            <w:r>
              <w:rPr>
                <w:rFonts w:hint="eastAsia"/>
                <w:sz w:val="24"/>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9</w:t>
            </w:r>
          </w:p>
        </w:tc>
        <w:tc>
          <w:tcPr>
            <w:tcW w:w="1176" w:type="dxa"/>
            <w:noWrap w:val="0"/>
            <w:vAlign w:val="center"/>
          </w:tcPr>
          <w:p>
            <w:pPr>
              <w:jc w:val="center"/>
              <w:rPr>
                <w:rFonts w:hint="eastAsia"/>
                <w:sz w:val="24"/>
              </w:rPr>
            </w:pPr>
            <w:r>
              <w:rPr>
                <w:rFonts w:hint="eastAsia"/>
                <w:sz w:val="24"/>
              </w:rPr>
              <w:t>吴山镇</w:t>
            </w:r>
          </w:p>
        </w:tc>
        <w:tc>
          <w:tcPr>
            <w:tcW w:w="1299" w:type="dxa"/>
            <w:noWrap w:val="0"/>
            <w:vAlign w:val="center"/>
          </w:tcPr>
          <w:p>
            <w:pPr>
              <w:jc w:val="center"/>
              <w:rPr>
                <w:rFonts w:hint="default" w:eastAsia="宋体"/>
                <w:sz w:val="24"/>
                <w:lang w:val="en-US" w:eastAsia="zh-CN"/>
              </w:rPr>
            </w:pPr>
            <w:r>
              <w:rPr>
                <w:rFonts w:hint="eastAsia"/>
                <w:sz w:val="24"/>
                <w:lang w:val="en-US" w:eastAsia="zh-CN"/>
              </w:rPr>
              <w:t>4663</w:t>
            </w:r>
          </w:p>
        </w:tc>
        <w:tc>
          <w:tcPr>
            <w:tcW w:w="1309" w:type="dxa"/>
            <w:noWrap w:val="0"/>
            <w:vAlign w:val="center"/>
          </w:tcPr>
          <w:p>
            <w:pPr>
              <w:jc w:val="center"/>
              <w:rPr>
                <w:rFonts w:hint="default" w:eastAsia="宋体"/>
                <w:sz w:val="24"/>
                <w:lang w:val="en-US" w:eastAsia="zh-CN"/>
              </w:rPr>
            </w:pPr>
            <w:r>
              <w:rPr>
                <w:rFonts w:hint="eastAsia"/>
                <w:sz w:val="24"/>
                <w:lang w:val="en-US" w:eastAsia="zh-CN"/>
              </w:rPr>
              <w:t>13582</w:t>
            </w:r>
          </w:p>
        </w:tc>
        <w:tc>
          <w:tcPr>
            <w:tcW w:w="1309" w:type="dxa"/>
            <w:noWrap w:val="0"/>
            <w:vAlign w:val="center"/>
          </w:tcPr>
          <w:p>
            <w:pPr>
              <w:jc w:val="center"/>
              <w:rPr>
                <w:rFonts w:hint="default" w:eastAsia="宋体"/>
                <w:sz w:val="24"/>
                <w:lang w:val="en-US" w:eastAsia="zh-CN"/>
              </w:rPr>
            </w:pPr>
            <w:r>
              <w:rPr>
                <w:rFonts w:hint="eastAsia"/>
                <w:sz w:val="24"/>
                <w:lang w:val="en-US" w:eastAsia="zh-CN"/>
              </w:rPr>
              <w:t>1711</w:t>
            </w:r>
          </w:p>
        </w:tc>
        <w:tc>
          <w:tcPr>
            <w:tcW w:w="1310" w:type="dxa"/>
            <w:noWrap w:val="0"/>
            <w:vAlign w:val="center"/>
          </w:tcPr>
          <w:p>
            <w:pPr>
              <w:jc w:val="center"/>
              <w:rPr>
                <w:rFonts w:hint="default" w:eastAsia="宋体"/>
                <w:sz w:val="24"/>
                <w:lang w:val="en-US" w:eastAsia="zh-CN"/>
              </w:rPr>
            </w:pPr>
            <w:r>
              <w:rPr>
                <w:rFonts w:hint="eastAsia"/>
                <w:sz w:val="24"/>
                <w:lang w:val="en-US" w:eastAsia="zh-CN"/>
              </w:rPr>
              <w:t>11871</w:t>
            </w:r>
          </w:p>
        </w:tc>
        <w:tc>
          <w:tcPr>
            <w:tcW w:w="1418" w:type="dxa"/>
            <w:noWrap w:val="0"/>
            <w:vAlign w:val="center"/>
          </w:tcPr>
          <w:p>
            <w:pPr>
              <w:jc w:val="center"/>
              <w:rPr>
                <w:rFonts w:hint="default" w:eastAsia="宋体"/>
                <w:sz w:val="24"/>
                <w:lang w:val="en-US" w:eastAsia="zh-CN"/>
              </w:rPr>
            </w:pPr>
            <w:r>
              <w:rPr>
                <w:rFonts w:hint="eastAsia"/>
                <w:sz w:val="24"/>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10</w:t>
            </w:r>
          </w:p>
        </w:tc>
        <w:tc>
          <w:tcPr>
            <w:tcW w:w="1176" w:type="dxa"/>
            <w:noWrap w:val="0"/>
            <w:vAlign w:val="center"/>
          </w:tcPr>
          <w:p>
            <w:pPr>
              <w:jc w:val="center"/>
              <w:rPr>
                <w:rFonts w:hint="eastAsia"/>
                <w:sz w:val="24"/>
              </w:rPr>
            </w:pPr>
            <w:r>
              <w:rPr>
                <w:rFonts w:hint="eastAsia"/>
                <w:sz w:val="24"/>
              </w:rPr>
              <w:t>邹桥乡</w:t>
            </w:r>
          </w:p>
        </w:tc>
        <w:tc>
          <w:tcPr>
            <w:tcW w:w="1299" w:type="dxa"/>
            <w:noWrap w:val="0"/>
            <w:vAlign w:val="center"/>
          </w:tcPr>
          <w:p>
            <w:pPr>
              <w:jc w:val="center"/>
              <w:rPr>
                <w:rFonts w:hint="default" w:eastAsia="宋体"/>
                <w:sz w:val="24"/>
                <w:lang w:val="en-US" w:eastAsia="zh-CN"/>
              </w:rPr>
            </w:pPr>
            <w:r>
              <w:rPr>
                <w:rFonts w:hint="eastAsia"/>
                <w:sz w:val="24"/>
                <w:lang w:val="en-US" w:eastAsia="zh-CN"/>
              </w:rPr>
              <w:t>3172</w:t>
            </w:r>
          </w:p>
        </w:tc>
        <w:tc>
          <w:tcPr>
            <w:tcW w:w="1309" w:type="dxa"/>
            <w:noWrap w:val="0"/>
            <w:vAlign w:val="center"/>
          </w:tcPr>
          <w:p>
            <w:pPr>
              <w:jc w:val="center"/>
              <w:rPr>
                <w:rFonts w:hint="default" w:eastAsia="宋体"/>
                <w:sz w:val="24"/>
                <w:lang w:val="en-US" w:eastAsia="zh-CN"/>
              </w:rPr>
            </w:pPr>
            <w:r>
              <w:rPr>
                <w:rFonts w:hint="eastAsia"/>
                <w:sz w:val="24"/>
                <w:lang w:val="en-US" w:eastAsia="zh-CN"/>
              </w:rPr>
              <w:t>9712</w:t>
            </w:r>
          </w:p>
        </w:tc>
        <w:tc>
          <w:tcPr>
            <w:tcW w:w="1309" w:type="dxa"/>
            <w:noWrap w:val="0"/>
            <w:vAlign w:val="center"/>
          </w:tcPr>
          <w:p>
            <w:pPr>
              <w:jc w:val="center"/>
              <w:rPr>
                <w:rFonts w:hint="default" w:eastAsia="宋体"/>
                <w:sz w:val="24"/>
                <w:lang w:val="en-US" w:eastAsia="zh-CN"/>
              </w:rPr>
            </w:pPr>
            <w:r>
              <w:rPr>
                <w:rFonts w:hint="eastAsia"/>
                <w:sz w:val="24"/>
                <w:lang w:val="en-US" w:eastAsia="zh-CN"/>
              </w:rPr>
              <w:t>137</w:t>
            </w:r>
          </w:p>
        </w:tc>
        <w:tc>
          <w:tcPr>
            <w:tcW w:w="1310" w:type="dxa"/>
            <w:noWrap w:val="0"/>
            <w:vAlign w:val="center"/>
          </w:tcPr>
          <w:p>
            <w:pPr>
              <w:jc w:val="center"/>
              <w:rPr>
                <w:rFonts w:hint="default" w:eastAsia="宋体"/>
                <w:sz w:val="24"/>
                <w:lang w:val="en-US" w:eastAsia="zh-CN"/>
              </w:rPr>
            </w:pPr>
            <w:r>
              <w:rPr>
                <w:rFonts w:hint="eastAsia"/>
                <w:sz w:val="24"/>
                <w:lang w:val="en-US" w:eastAsia="zh-CN"/>
              </w:rPr>
              <w:t>9575</w:t>
            </w:r>
          </w:p>
        </w:tc>
        <w:tc>
          <w:tcPr>
            <w:tcW w:w="1418" w:type="dxa"/>
            <w:noWrap w:val="0"/>
            <w:vAlign w:val="center"/>
          </w:tcPr>
          <w:p>
            <w:pPr>
              <w:jc w:val="center"/>
              <w:rPr>
                <w:rFonts w:hint="default" w:eastAsia="宋体"/>
                <w:sz w:val="24"/>
                <w:lang w:val="en-US" w:eastAsia="zh-CN"/>
              </w:rPr>
            </w:pPr>
            <w:r>
              <w:rPr>
                <w:rFonts w:hint="eastAsia"/>
                <w:sz w:val="24"/>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11</w:t>
            </w:r>
          </w:p>
        </w:tc>
        <w:tc>
          <w:tcPr>
            <w:tcW w:w="1176" w:type="dxa"/>
            <w:noWrap w:val="0"/>
            <w:vAlign w:val="center"/>
          </w:tcPr>
          <w:p>
            <w:pPr>
              <w:jc w:val="center"/>
              <w:rPr>
                <w:rFonts w:hint="eastAsia"/>
                <w:sz w:val="24"/>
              </w:rPr>
            </w:pPr>
            <w:r>
              <w:rPr>
                <w:rFonts w:hint="eastAsia"/>
                <w:sz w:val="24"/>
              </w:rPr>
              <w:t>爱民乡</w:t>
            </w:r>
          </w:p>
        </w:tc>
        <w:tc>
          <w:tcPr>
            <w:tcW w:w="1299" w:type="dxa"/>
            <w:noWrap w:val="0"/>
            <w:vAlign w:val="center"/>
          </w:tcPr>
          <w:p>
            <w:pPr>
              <w:jc w:val="center"/>
              <w:rPr>
                <w:rFonts w:hint="default" w:eastAsia="宋体"/>
                <w:sz w:val="24"/>
                <w:lang w:val="en-US" w:eastAsia="zh-CN"/>
              </w:rPr>
            </w:pPr>
            <w:r>
              <w:rPr>
                <w:rFonts w:hint="eastAsia"/>
                <w:sz w:val="24"/>
                <w:lang w:val="en-US" w:eastAsia="zh-CN"/>
              </w:rPr>
              <w:t>2040</w:t>
            </w:r>
          </w:p>
        </w:tc>
        <w:tc>
          <w:tcPr>
            <w:tcW w:w="1309" w:type="dxa"/>
            <w:noWrap w:val="0"/>
            <w:vAlign w:val="center"/>
          </w:tcPr>
          <w:p>
            <w:pPr>
              <w:jc w:val="center"/>
              <w:rPr>
                <w:rFonts w:hint="default" w:eastAsia="宋体"/>
                <w:sz w:val="24"/>
                <w:lang w:val="en-US" w:eastAsia="zh-CN"/>
              </w:rPr>
            </w:pPr>
            <w:r>
              <w:rPr>
                <w:rFonts w:hint="eastAsia"/>
                <w:sz w:val="24"/>
                <w:lang w:val="en-US" w:eastAsia="zh-CN"/>
              </w:rPr>
              <w:t>7278</w:t>
            </w:r>
          </w:p>
        </w:tc>
        <w:tc>
          <w:tcPr>
            <w:tcW w:w="1309" w:type="dxa"/>
            <w:noWrap w:val="0"/>
            <w:vAlign w:val="center"/>
          </w:tcPr>
          <w:p>
            <w:pPr>
              <w:jc w:val="center"/>
              <w:rPr>
                <w:rFonts w:hint="default" w:eastAsia="宋体"/>
                <w:sz w:val="24"/>
                <w:lang w:val="en-US" w:eastAsia="zh-CN"/>
              </w:rPr>
            </w:pPr>
            <w:r>
              <w:rPr>
                <w:rFonts w:hint="eastAsia"/>
                <w:sz w:val="24"/>
                <w:lang w:val="en-US" w:eastAsia="zh-CN"/>
              </w:rPr>
              <w:t>119</w:t>
            </w:r>
          </w:p>
        </w:tc>
        <w:tc>
          <w:tcPr>
            <w:tcW w:w="1310" w:type="dxa"/>
            <w:noWrap w:val="0"/>
            <w:vAlign w:val="center"/>
          </w:tcPr>
          <w:p>
            <w:pPr>
              <w:jc w:val="center"/>
              <w:rPr>
                <w:rFonts w:hint="default" w:eastAsia="宋体"/>
                <w:sz w:val="24"/>
                <w:lang w:val="en-US" w:eastAsia="zh-CN"/>
              </w:rPr>
            </w:pPr>
            <w:r>
              <w:rPr>
                <w:rFonts w:hint="eastAsia"/>
                <w:sz w:val="24"/>
                <w:lang w:val="en-US" w:eastAsia="zh-CN"/>
              </w:rPr>
              <w:t>7159</w:t>
            </w:r>
          </w:p>
        </w:tc>
        <w:tc>
          <w:tcPr>
            <w:tcW w:w="1418" w:type="dxa"/>
            <w:noWrap w:val="0"/>
            <w:vAlign w:val="center"/>
          </w:tcPr>
          <w:p>
            <w:pPr>
              <w:jc w:val="center"/>
              <w:rPr>
                <w:rFonts w:hint="default" w:eastAsia="宋体"/>
                <w:sz w:val="24"/>
                <w:lang w:val="en-US" w:eastAsia="zh-CN"/>
              </w:rPr>
            </w:pPr>
            <w:r>
              <w:rPr>
                <w:rFonts w:hint="eastAsia"/>
                <w:sz w:val="24"/>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12</w:t>
            </w:r>
          </w:p>
        </w:tc>
        <w:tc>
          <w:tcPr>
            <w:tcW w:w="1176" w:type="dxa"/>
            <w:noWrap w:val="0"/>
            <w:vAlign w:val="center"/>
          </w:tcPr>
          <w:p>
            <w:pPr>
              <w:jc w:val="center"/>
              <w:rPr>
                <w:rFonts w:hint="eastAsia"/>
                <w:sz w:val="24"/>
              </w:rPr>
            </w:pPr>
            <w:r>
              <w:rPr>
                <w:rFonts w:hint="eastAsia"/>
                <w:sz w:val="24"/>
              </w:rPr>
              <w:t>塘山乡</w:t>
            </w:r>
          </w:p>
        </w:tc>
        <w:tc>
          <w:tcPr>
            <w:tcW w:w="1299" w:type="dxa"/>
            <w:noWrap w:val="0"/>
            <w:vAlign w:val="center"/>
          </w:tcPr>
          <w:p>
            <w:pPr>
              <w:jc w:val="center"/>
              <w:rPr>
                <w:rFonts w:hint="default" w:eastAsia="宋体"/>
                <w:sz w:val="24"/>
                <w:lang w:val="en-US" w:eastAsia="zh-CN"/>
              </w:rPr>
            </w:pPr>
            <w:r>
              <w:rPr>
                <w:rFonts w:hint="eastAsia"/>
                <w:sz w:val="24"/>
                <w:lang w:val="en-US" w:eastAsia="zh-CN"/>
              </w:rPr>
              <w:t>1929</w:t>
            </w:r>
          </w:p>
        </w:tc>
        <w:tc>
          <w:tcPr>
            <w:tcW w:w="1309" w:type="dxa"/>
            <w:noWrap w:val="0"/>
            <w:vAlign w:val="center"/>
          </w:tcPr>
          <w:p>
            <w:pPr>
              <w:jc w:val="center"/>
              <w:rPr>
                <w:rFonts w:hint="default" w:eastAsia="宋体"/>
                <w:sz w:val="24"/>
                <w:lang w:val="en-US" w:eastAsia="zh-CN"/>
              </w:rPr>
            </w:pPr>
            <w:r>
              <w:rPr>
                <w:rFonts w:hint="eastAsia"/>
                <w:sz w:val="24"/>
                <w:lang w:val="en-US" w:eastAsia="zh-CN"/>
              </w:rPr>
              <w:t>6941</w:t>
            </w:r>
          </w:p>
        </w:tc>
        <w:tc>
          <w:tcPr>
            <w:tcW w:w="1309" w:type="dxa"/>
            <w:noWrap w:val="0"/>
            <w:vAlign w:val="center"/>
          </w:tcPr>
          <w:p>
            <w:pPr>
              <w:jc w:val="center"/>
              <w:rPr>
                <w:rFonts w:hint="default" w:eastAsia="宋体"/>
                <w:sz w:val="24"/>
                <w:lang w:val="en-US" w:eastAsia="zh-CN"/>
              </w:rPr>
            </w:pPr>
            <w:r>
              <w:rPr>
                <w:rFonts w:hint="eastAsia"/>
                <w:sz w:val="24"/>
                <w:lang w:val="en-US" w:eastAsia="zh-CN"/>
              </w:rPr>
              <w:t>108</w:t>
            </w:r>
          </w:p>
        </w:tc>
        <w:tc>
          <w:tcPr>
            <w:tcW w:w="1310" w:type="dxa"/>
            <w:noWrap w:val="0"/>
            <w:vAlign w:val="center"/>
          </w:tcPr>
          <w:p>
            <w:pPr>
              <w:jc w:val="center"/>
              <w:rPr>
                <w:rFonts w:hint="default" w:eastAsia="宋体"/>
                <w:sz w:val="24"/>
                <w:lang w:val="en-US" w:eastAsia="zh-CN"/>
              </w:rPr>
            </w:pPr>
            <w:r>
              <w:rPr>
                <w:rFonts w:hint="eastAsia"/>
                <w:sz w:val="24"/>
                <w:lang w:val="en-US" w:eastAsia="zh-CN"/>
              </w:rPr>
              <w:t>6833</w:t>
            </w:r>
          </w:p>
        </w:tc>
        <w:tc>
          <w:tcPr>
            <w:tcW w:w="1418" w:type="dxa"/>
            <w:noWrap w:val="0"/>
            <w:vAlign w:val="center"/>
          </w:tcPr>
          <w:p>
            <w:pPr>
              <w:jc w:val="center"/>
              <w:rPr>
                <w:rFonts w:hint="default" w:eastAsia="宋体"/>
                <w:sz w:val="24"/>
                <w:lang w:val="en-US" w:eastAsia="zh-CN"/>
              </w:rPr>
            </w:pPr>
            <w:r>
              <w:rPr>
                <w:rFonts w:hint="eastAsia"/>
                <w:sz w:val="24"/>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eastAsia"/>
                <w:sz w:val="24"/>
              </w:rPr>
            </w:pPr>
            <w:r>
              <w:rPr>
                <w:rFonts w:hint="eastAsia"/>
                <w:sz w:val="24"/>
              </w:rPr>
              <w:t>13</w:t>
            </w:r>
          </w:p>
        </w:tc>
        <w:tc>
          <w:tcPr>
            <w:tcW w:w="1176" w:type="dxa"/>
            <w:noWrap w:val="0"/>
            <w:vAlign w:val="center"/>
          </w:tcPr>
          <w:p>
            <w:pPr>
              <w:jc w:val="center"/>
              <w:rPr>
                <w:rFonts w:hint="eastAsia"/>
                <w:sz w:val="24"/>
              </w:rPr>
            </w:pPr>
            <w:r>
              <w:rPr>
                <w:rFonts w:hint="eastAsia"/>
                <w:sz w:val="24"/>
              </w:rPr>
              <w:t>车桥镇</w:t>
            </w:r>
          </w:p>
        </w:tc>
        <w:tc>
          <w:tcPr>
            <w:tcW w:w="1299" w:type="dxa"/>
            <w:noWrap w:val="0"/>
            <w:vAlign w:val="center"/>
          </w:tcPr>
          <w:p>
            <w:pPr>
              <w:jc w:val="center"/>
              <w:rPr>
                <w:rFonts w:hint="default" w:eastAsia="宋体"/>
                <w:sz w:val="24"/>
                <w:lang w:val="en-US" w:eastAsia="zh-CN"/>
              </w:rPr>
            </w:pPr>
            <w:r>
              <w:rPr>
                <w:rFonts w:hint="eastAsia"/>
                <w:sz w:val="24"/>
                <w:lang w:val="en-US" w:eastAsia="zh-CN"/>
              </w:rPr>
              <w:t>3630</w:t>
            </w:r>
          </w:p>
        </w:tc>
        <w:tc>
          <w:tcPr>
            <w:tcW w:w="1309" w:type="dxa"/>
            <w:noWrap w:val="0"/>
            <w:vAlign w:val="center"/>
          </w:tcPr>
          <w:p>
            <w:pPr>
              <w:jc w:val="center"/>
              <w:rPr>
                <w:rFonts w:hint="default" w:eastAsia="宋体"/>
                <w:sz w:val="24"/>
                <w:lang w:val="en-US" w:eastAsia="zh-CN"/>
              </w:rPr>
            </w:pPr>
            <w:r>
              <w:rPr>
                <w:rFonts w:hint="eastAsia"/>
                <w:sz w:val="24"/>
                <w:lang w:val="en-US" w:eastAsia="zh-CN"/>
              </w:rPr>
              <w:t>11588</w:t>
            </w:r>
          </w:p>
        </w:tc>
        <w:tc>
          <w:tcPr>
            <w:tcW w:w="1309" w:type="dxa"/>
            <w:noWrap w:val="0"/>
            <w:vAlign w:val="center"/>
          </w:tcPr>
          <w:p>
            <w:pPr>
              <w:jc w:val="center"/>
              <w:rPr>
                <w:rFonts w:hint="default" w:eastAsia="宋体"/>
                <w:sz w:val="24"/>
                <w:lang w:val="en-US" w:eastAsia="zh-CN"/>
              </w:rPr>
            </w:pPr>
            <w:r>
              <w:rPr>
                <w:rFonts w:hint="eastAsia"/>
                <w:sz w:val="24"/>
                <w:lang w:val="en-US" w:eastAsia="zh-CN"/>
              </w:rPr>
              <w:t>694</w:t>
            </w:r>
          </w:p>
        </w:tc>
        <w:tc>
          <w:tcPr>
            <w:tcW w:w="1310" w:type="dxa"/>
            <w:noWrap w:val="0"/>
            <w:vAlign w:val="center"/>
          </w:tcPr>
          <w:p>
            <w:pPr>
              <w:jc w:val="center"/>
              <w:rPr>
                <w:rFonts w:hint="default" w:eastAsia="宋体"/>
                <w:sz w:val="24"/>
                <w:lang w:val="en-US" w:eastAsia="zh-CN"/>
              </w:rPr>
            </w:pPr>
            <w:r>
              <w:rPr>
                <w:rFonts w:hint="eastAsia"/>
                <w:sz w:val="24"/>
                <w:lang w:val="en-US" w:eastAsia="zh-CN"/>
              </w:rPr>
              <w:t>10894</w:t>
            </w:r>
          </w:p>
        </w:tc>
        <w:tc>
          <w:tcPr>
            <w:tcW w:w="1418" w:type="dxa"/>
            <w:noWrap w:val="0"/>
            <w:vAlign w:val="center"/>
          </w:tcPr>
          <w:p>
            <w:pPr>
              <w:jc w:val="center"/>
              <w:rPr>
                <w:rFonts w:hint="default" w:eastAsia="宋体"/>
                <w:sz w:val="24"/>
                <w:lang w:val="en-US" w:eastAsia="zh-CN"/>
              </w:rPr>
            </w:pPr>
            <w:r>
              <w:rPr>
                <w:rFonts w:hint="eastAsia"/>
                <w:sz w:val="24"/>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99" w:type="dxa"/>
            <w:noWrap w:val="0"/>
            <w:vAlign w:val="center"/>
          </w:tcPr>
          <w:p>
            <w:pPr>
              <w:jc w:val="center"/>
              <w:rPr>
                <w:rFonts w:hint="default" w:eastAsia="宋体"/>
                <w:sz w:val="24"/>
                <w:lang w:val="en-US" w:eastAsia="zh-CN"/>
              </w:rPr>
            </w:pPr>
            <w:r>
              <w:rPr>
                <w:rFonts w:hint="eastAsia"/>
                <w:sz w:val="24"/>
                <w:lang w:val="en-US" w:eastAsia="zh-CN"/>
              </w:rPr>
              <w:t>14</w:t>
            </w:r>
          </w:p>
        </w:tc>
        <w:tc>
          <w:tcPr>
            <w:tcW w:w="1176" w:type="dxa"/>
            <w:noWrap w:val="0"/>
            <w:vAlign w:val="center"/>
          </w:tcPr>
          <w:p>
            <w:pPr>
              <w:jc w:val="center"/>
              <w:rPr>
                <w:rFonts w:hint="eastAsia"/>
                <w:sz w:val="24"/>
              </w:rPr>
            </w:pPr>
            <w:r>
              <w:rPr>
                <w:rFonts w:hint="eastAsia"/>
                <w:sz w:val="24"/>
              </w:rPr>
              <w:t>全县合计</w:t>
            </w:r>
          </w:p>
        </w:tc>
        <w:tc>
          <w:tcPr>
            <w:tcW w:w="1299" w:type="dxa"/>
            <w:noWrap w:val="0"/>
            <w:vAlign w:val="center"/>
          </w:tcPr>
          <w:p>
            <w:pPr>
              <w:jc w:val="center"/>
              <w:rPr>
                <w:rFonts w:hint="default" w:eastAsia="宋体"/>
                <w:sz w:val="24"/>
                <w:lang w:val="en-US" w:eastAsia="zh-CN"/>
              </w:rPr>
            </w:pPr>
            <w:r>
              <w:rPr>
                <w:rFonts w:hint="eastAsia"/>
                <w:sz w:val="24"/>
                <w:lang w:val="en-US" w:eastAsia="zh-CN"/>
              </w:rPr>
              <w:t>56476</w:t>
            </w:r>
          </w:p>
        </w:tc>
        <w:tc>
          <w:tcPr>
            <w:tcW w:w="1309" w:type="dxa"/>
            <w:noWrap w:val="0"/>
            <w:vAlign w:val="center"/>
          </w:tcPr>
          <w:p>
            <w:pPr>
              <w:jc w:val="center"/>
              <w:rPr>
                <w:rFonts w:hint="default" w:eastAsia="宋体"/>
                <w:sz w:val="24"/>
                <w:lang w:val="en-US" w:eastAsia="zh-CN"/>
              </w:rPr>
            </w:pPr>
            <w:r>
              <w:rPr>
                <w:rFonts w:hint="eastAsia"/>
                <w:sz w:val="24"/>
                <w:lang w:val="en-US" w:eastAsia="zh-CN"/>
              </w:rPr>
              <w:t>176323</w:t>
            </w:r>
          </w:p>
        </w:tc>
        <w:tc>
          <w:tcPr>
            <w:tcW w:w="1309" w:type="dxa"/>
            <w:noWrap w:val="0"/>
            <w:vAlign w:val="center"/>
          </w:tcPr>
          <w:p>
            <w:pPr>
              <w:jc w:val="center"/>
              <w:rPr>
                <w:rFonts w:hint="default" w:eastAsia="宋体"/>
                <w:sz w:val="24"/>
                <w:lang w:val="en-US" w:eastAsia="zh-CN"/>
              </w:rPr>
            </w:pPr>
            <w:r>
              <w:rPr>
                <w:rFonts w:hint="eastAsia"/>
                <w:sz w:val="24"/>
                <w:lang w:val="en-US" w:eastAsia="zh-CN"/>
              </w:rPr>
              <w:t>71926</w:t>
            </w:r>
          </w:p>
        </w:tc>
        <w:tc>
          <w:tcPr>
            <w:tcW w:w="1310" w:type="dxa"/>
            <w:noWrap w:val="0"/>
            <w:vAlign w:val="center"/>
          </w:tcPr>
          <w:p>
            <w:pPr>
              <w:jc w:val="center"/>
              <w:rPr>
                <w:rFonts w:hint="default" w:eastAsia="宋体"/>
                <w:sz w:val="24"/>
                <w:lang w:val="en-US" w:eastAsia="zh-CN"/>
              </w:rPr>
            </w:pPr>
            <w:r>
              <w:rPr>
                <w:rFonts w:hint="eastAsia"/>
                <w:sz w:val="24"/>
                <w:lang w:val="en-US" w:eastAsia="zh-CN"/>
              </w:rPr>
              <w:t>104397</w:t>
            </w:r>
          </w:p>
        </w:tc>
        <w:tc>
          <w:tcPr>
            <w:tcW w:w="1418" w:type="dxa"/>
            <w:noWrap w:val="0"/>
            <w:vAlign w:val="center"/>
          </w:tcPr>
          <w:p>
            <w:pPr>
              <w:jc w:val="center"/>
              <w:rPr>
                <w:rFonts w:hint="default" w:eastAsia="宋体"/>
                <w:sz w:val="24"/>
                <w:lang w:val="en-US" w:eastAsia="zh-CN"/>
              </w:rPr>
            </w:pPr>
            <w:r>
              <w:rPr>
                <w:rFonts w:hint="eastAsia"/>
                <w:sz w:val="24"/>
                <w:lang w:val="en-US" w:eastAsia="zh-CN"/>
              </w:rPr>
              <w:t>990</w:t>
            </w:r>
          </w:p>
        </w:tc>
      </w:tr>
    </w:tbl>
    <w:p>
      <w:pPr>
        <w:adjustRightInd w:val="0"/>
        <w:snapToGrid w:val="0"/>
        <w:spacing w:line="360" w:lineRule="auto"/>
        <w:ind w:firstLine="446" w:firstLineChars="186"/>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规划用水人口数采用综合增长率法模型预测：</w:t>
      </w:r>
    </w:p>
    <w:p>
      <w:pPr>
        <w:adjustRightInd w:val="0"/>
        <w:snapToGrid w:val="0"/>
        <w:spacing w:line="360" w:lineRule="auto"/>
        <w:ind w:firstLine="446" w:firstLineChars="186"/>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position w:val="-12"/>
          <w:sz w:val="24"/>
          <w:szCs w:val="24"/>
          <w:highlight w:val="none"/>
        </w:rPr>
        <w:object>
          <v:shape id="_x0000_i1025" o:spt="75" type="#_x0000_t75" style="height:18.4pt;width:65.65pt;" o:ole="t" filled="f" o:preferrelative="t" stroked="f" coordsize="21600,21600">
            <v:path/>
            <v:fill on="f" focussize="0,0"/>
            <v:stroke on="f"/>
            <v:imagedata r:id="rId20" o:title=""/>
            <o:lock v:ext="edit" grouping="f" rotation="f" text="f" aspectratio="t"/>
            <w10:wrap type="none"/>
            <w10:anchorlock/>
          </v:shape>
          <o:OLEObject Type="Embed" ProgID="Equation.3" ShapeID="_x0000_i1025" DrawAspect="Content" ObjectID="_1468075725" r:id="rId19">
            <o:LockedField>false</o:LockedField>
          </o:OLEObject>
        </w:objec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式中：</w:t>
      </w:r>
      <w:r>
        <w:rPr>
          <w:rFonts w:hint="default" w:ascii="Times New Roman" w:hAnsi="Times New Roman" w:eastAsia="宋体" w:cs="Times New Roman"/>
          <w:position w:val="-4"/>
          <w:sz w:val="24"/>
          <w:szCs w:val="24"/>
          <w:highlight w:val="none"/>
        </w:rPr>
        <w:object>
          <v:shape id="_x0000_i1026" o:spt="75" type="#_x0000_t75" style="height:13pt;width:12pt;" o:ole="t" filled="f" o:preferrelative="t" stroked="f" coordsize="21600,21600">
            <v:path/>
            <v:fill on="f" focussize="0,0"/>
            <v:stroke on="f"/>
            <v:imagedata r:id="rId22" o:title=""/>
            <o:lock v:ext="edit" grouping="f" rotation="f" text="f" aspectratio="t"/>
            <w10:wrap type="none"/>
            <w10:anchorlock/>
          </v:shape>
          <o:OLEObject Type="Embed" ProgID="Equation.3" ShapeID="_x0000_i1026" DrawAspect="Content" ObjectID="_1468075726" r:id="rId21">
            <o:LockedField>false</o:LockedField>
          </o:OLEObject>
        </w:object>
      </w:r>
      <w:r>
        <w:rPr>
          <w:rFonts w:hint="default" w:ascii="Times New Roman" w:hAnsi="Times New Roman" w:eastAsia="宋体" w:cs="Times New Roman"/>
          <w:sz w:val="24"/>
          <w:szCs w:val="24"/>
          <w:highlight w:val="none"/>
        </w:rPr>
        <w:t>——供水范围内设计用水人数（人）；</w:t>
      </w:r>
    </w:p>
    <w:p>
      <w:pPr>
        <w:adjustRightInd w:val="0"/>
        <w:snapToGrid w:val="0"/>
        <w:spacing w:line="360" w:lineRule="auto"/>
        <w:ind w:firstLine="1161" w:firstLineChars="484"/>
        <w:rPr>
          <w:rFonts w:hint="default" w:ascii="Times New Roman" w:hAnsi="Times New Roman" w:eastAsia="宋体" w:cs="Times New Roman"/>
          <w:sz w:val="24"/>
          <w:szCs w:val="24"/>
          <w:highlight w:val="none"/>
        </w:rPr>
      </w:pPr>
      <w:r>
        <w:rPr>
          <w:rFonts w:hint="default" w:ascii="Times New Roman" w:hAnsi="Times New Roman" w:eastAsia="宋体" w:cs="Times New Roman"/>
          <w:position w:val="-12"/>
          <w:sz w:val="24"/>
          <w:szCs w:val="24"/>
          <w:highlight w:val="none"/>
        </w:rPr>
        <w:object>
          <v:shape id="_x0000_i1027" o:spt="75" type="#_x0000_t75" style="height:18pt;width:13.95pt;" o:ole="t" filled="f" o:preferrelative="t" stroked="f" coordsize="21600,21600">
            <v:path/>
            <v:fill on="f" focussize="0,0"/>
            <v:stroke on="f"/>
            <v:imagedata r:id="rId24" o:title=""/>
            <o:lock v:ext="edit" grouping="f" rotation="f" text="f" aspectratio="t"/>
            <w10:wrap type="none"/>
            <w10:anchorlock/>
          </v:shape>
          <o:OLEObject Type="Embed" ProgID="Equation.3" ShapeID="_x0000_i1027" DrawAspect="Content" ObjectID="_1468075727" r:id="rId23">
            <o:LockedField>false</o:LockedField>
          </o:OLEObject>
        </w:object>
      </w:r>
      <w:r>
        <w:rPr>
          <w:rFonts w:hint="default" w:ascii="Times New Roman" w:hAnsi="Times New Roman" w:eastAsia="宋体" w:cs="Times New Roman"/>
          <w:sz w:val="24"/>
          <w:szCs w:val="24"/>
          <w:highlight w:val="none"/>
        </w:rPr>
        <w:t>——供水范围内现状水平年人口基数（人）；</w:t>
      </w:r>
    </w:p>
    <w:p>
      <w:pPr>
        <w:adjustRightInd w:val="0"/>
        <w:snapToGrid w:val="0"/>
        <w:spacing w:line="360" w:lineRule="auto"/>
        <w:ind w:firstLine="1200" w:firstLineChars="500"/>
        <w:rPr>
          <w:rFonts w:hint="default" w:ascii="Times New Roman" w:hAnsi="Times New Roman" w:eastAsia="宋体" w:cs="Times New Roman"/>
          <w:sz w:val="24"/>
          <w:szCs w:val="24"/>
          <w:highlight w:val="none"/>
        </w:rPr>
      </w:pPr>
      <w:r>
        <w:rPr>
          <w:rFonts w:hint="default" w:ascii="Times New Roman" w:hAnsi="Times New Roman" w:eastAsia="宋体" w:cs="Times New Roman"/>
          <w:position w:val="-10"/>
          <w:sz w:val="24"/>
          <w:szCs w:val="24"/>
          <w:highlight w:val="none"/>
        </w:rPr>
        <w:object>
          <v:shape id="_x0000_i1028" o:spt="75" type="#_x0000_t75" style="height:13pt;width:10pt;" o:ole="t" filled="f" o:preferrelative="t" stroked="f" coordsize="21600,21600">
            <v:path/>
            <v:fill on="f" focussize="0,0"/>
            <v:stroke on="f"/>
            <v:imagedata r:id="rId26" o:title=""/>
            <o:lock v:ext="edit" grouping="f" rotation="f" text="f" aspectratio="t"/>
            <w10:wrap type="none"/>
            <w10:anchorlock/>
          </v:shape>
          <o:OLEObject Type="Embed" ProgID="Equation.3" ShapeID="_x0000_i1028" DrawAspect="Content" ObjectID="_1468075728" r:id="rId25">
            <o:LockedField>false</o:LockedField>
          </o:OLEObject>
        </w:object>
      </w:r>
      <w:r>
        <w:rPr>
          <w:rFonts w:hint="default" w:ascii="Times New Roman" w:hAnsi="Times New Roman" w:eastAsia="宋体" w:cs="Times New Roman"/>
          <w:sz w:val="24"/>
          <w:szCs w:val="24"/>
          <w:highlight w:val="none"/>
        </w:rPr>
        <w:t>——预测年限内人口自然增长率，</w:t>
      </w:r>
      <w:r>
        <w:rPr>
          <w:rFonts w:hint="eastAsia" w:ascii="Times New Roman" w:hAnsi="Times New Roman" w:eastAsia="宋体" w:cs="Times New Roman"/>
          <w:sz w:val="24"/>
          <w:szCs w:val="24"/>
          <w:highlight w:val="none"/>
          <w:lang w:val="en-US" w:eastAsia="zh-CN"/>
        </w:rPr>
        <w:t>根据德安县实际情况，本次规划中，县城及集镇人口增长率按8‰考虑，农村人口增长率约3‰考虑，存在人口的机械转移</w:t>
      </w:r>
      <w:r>
        <w:rPr>
          <w:rFonts w:hint="default" w:ascii="Times New Roman" w:hAnsi="Times New Roman" w:eastAsia="宋体" w:cs="Times New Roman"/>
          <w:sz w:val="24"/>
          <w:szCs w:val="24"/>
          <w:highlight w:val="none"/>
        </w:rPr>
        <w:t>；</w:t>
      </w:r>
    </w:p>
    <w:p>
      <w:pPr>
        <w:adjustRightInd w:val="0"/>
        <w:snapToGrid w:val="0"/>
        <w:spacing w:line="360" w:lineRule="auto"/>
        <w:ind w:firstLine="1161" w:firstLineChars="484"/>
        <w:rPr>
          <w:rFonts w:hint="default" w:ascii="Times New Roman" w:hAnsi="Times New Roman" w:eastAsia="宋体" w:cs="Times New Roman"/>
          <w:sz w:val="24"/>
          <w:szCs w:val="24"/>
          <w:highlight w:val="none"/>
        </w:rPr>
      </w:pPr>
      <w:r>
        <w:rPr>
          <w:rFonts w:hint="default" w:ascii="Times New Roman" w:hAnsi="Times New Roman" w:eastAsia="宋体" w:cs="Times New Roman"/>
          <w:position w:val="-6"/>
          <w:sz w:val="24"/>
          <w:szCs w:val="24"/>
          <w:highlight w:val="none"/>
        </w:rPr>
        <w:object>
          <v:shape id="_x0000_i1029" o:spt="75" type="#_x0000_t75" style="height:11pt;width:10pt;" o:ole="t" filled="f" o:preferrelative="t" stroked="f" coordsize="21600,21600">
            <v:path/>
            <v:fill on="f" focussize="0,0"/>
            <v:stroke on="f"/>
            <v:imagedata r:id="rId28" o:title=""/>
            <o:lock v:ext="edit" grouping="f" rotation="f" text="f" aspectratio="t"/>
            <w10:wrap type="none"/>
            <w10:anchorlock/>
          </v:shape>
          <o:OLEObject Type="Embed" ProgID="Equation.3" ShapeID="_x0000_i1029" DrawAspect="Content" ObjectID="_1468075729" r:id="rId27">
            <o:LockedField>false</o:LockedField>
          </o:OLEObject>
        </w:objec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预测年限</w:t>
      </w:r>
      <w:r>
        <w:rPr>
          <w:rFonts w:hint="default" w:ascii="Times New Roman" w:hAnsi="Times New Roman" w:eastAsia="宋体" w:cs="Times New Roman"/>
          <w:sz w:val="24"/>
          <w:szCs w:val="24"/>
          <w:highlight w:val="none"/>
        </w:rPr>
        <w:t>，本规划取</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5年</w:t>
      </w:r>
      <w:r>
        <w:rPr>
          <w:rFonts w:hint="default" w:ascii="Times New Roman" w:hAnsi="Times New Roman" w:eastAsia="宋体" w:cs="Times New Roman"/>
          <w:sz w:val="24"/>
          <w:szCs w:val="24"/>
          <w:highlight w:val="none"/>
        </w:rPr>
        <w:t>。</w:t>
      </w:r>
    </w:p>
    <w:p>
      <w:pPr>
        <w:adjustRightInd w:val="0"/>
        <w:snapToGrid w:val="0"/>
        <w:spacing w:line="360" w:lineRule="auto"/>
        <w:ind w:firstLine="446" w:firstLineChars="186"/>
        <w:rPr>
          <w:rFonts w:hint="default" w:ascii="Times New Roman" w:hAnsi="Times New Roman" w:eastAsia="宋体" w:cs="Times New Roman"/>
          <w:sz w:val="24"/>
          <w:szCs w:val="24"/>
          <w:highlight w:val="none"/>
          <w:u w:val="none" w:color="auto"/>
          <w:lang w:val="en-US" w:eastAsia="zh-CN"/>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工业企业发展规模预测</w:t>
      </w:r>
    </w:p>
    <w:p>
      <w:pPr>
        <w:adjustRightInd w:val="0"/>
        <w:snapToGrid w:val="0"/>
        <w:spacing w:line="360" w:lineRule="auto"/>
        <w:ind w:firstLine="446" w:firstLineChars="186"/>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sz w:val="24"/>
          <w:szCs w:val="24"/>
          <w:highlight w:val="none"/>
          <w:u w:val="none" w:color="auto"/>
          <w:lang w:val="en-US" w:eastAsia="zh-CN"/>
        </w:rPr>
        <w:t>本规划工业企业用水为各供水范围内需</w:t>
      </w:r>
      <w:r>
        <w:rPr>
          <w:rFonts w:hint="default" w:ascii="Times New Roman" w:hAnsi="Times New Roman" w:eastAsia="宋体" w:cs="Times New Roman"/>
          <w:sz w:val="24"/>
          <w:szCs w:val="24"/>
          <w:highlight w:val="none"/>
          <w:lang w:val="en-US" w:eastAsia="zh-CN"/>
        </w:rPr>
        <w:t>自来水工程供水的相关工业企业的生产用水（不包括自备水源的工业企业）。工业企业发展规模预测（产值增加值）主要依据相应区域（或工业企业）发展规划确定。对没有相应工业企业发展规划的区域，则以现状工业增加值（不含建筑业增加值）为基数，按9%平均年增长速度预测规划水平年工业生产规模。</w:t>
      </w:r>
    </w:p>
    <w:p>
      <w:pPr>
        <w:pStyle w:val="2"/>
        <w:ind w:left="0" w:leftChars="0" w:firstLine="0" w:firstLineChars="0"/>
        <w:rPr>
          <w:rFonts w:hint="default"/>
          <w:lang w:val="en-US" w:eastAsia="zh-CN"/>
        </w:rPr>
        <w:sectPr>
          <w:footerReference r:id="rId7" w:type="first"/>
          <w:footerReference r:id="rId5" w:type="default"/>
          <w:footerReference r:id="rId6" w:type="even"/>
          <w:footnotePr>
            <w:numFmt w:val="decimal"/>
          </w:footnotePr>
          <w:type w:val="nextColumn"/>
          <w:pgSz w:w="11900" w:h="16840"/>
          <w:pgMar w:top="1440" w:right="1800" w:bottom="1440" w:left="1800" w:header="0" w:footer="3" w:gutter="0"/>
          <w:pgNumType w:fmt="decimal" w:start="1"/>
          <w:cols w:space="720" w:num="1"/>
          <w:titlePg/>
          <w:rtlGutter w:val="0"/>
          <w:docGrid w:linePitch="360" w:charSpace="0"/>
        </w:sectPr>
      </w:pPr>
    </w:p>
    <w:p>
      <w:pPr>
        <w:adjustRightInd w:val="0"/>
        <w:snapToGrid w:val="0"/>
        <w:spacing w:line="36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各水厂人口及工业产值预测表</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63"/>
        <w:gridCol w:w="1764"/>
        <w:gridCol w:w="1139"/>
        <w:gridCol w:w="1079"/>
        <w:gridCol w:w="1018"/>
        <w:gridCol w:w="1079"/>
        <w:gridCol w:w="1137"/>
        <w:gridCol w:w="1082"/>
        <w:gridCol w:w="1231"/>
        <w:gridCol w:w="841"/>
        <w:gridCol w:w="1078"/>
        <w:gridCol w:w="1054"/>
        <w:gridCol w:w="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56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序号</w:t>
            </w:r>
          </w:p>
        </w:tc>
        <w:tc>
          <w:tcPr>
            <w:tcW w:w="176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工程名称</w:t>
            </w:r>
          </w:p>
        </w:tc>
        <w:tc>
          <w:tcPr>
            <w:tcW w:w="6534" w:type="dxa"/>
            <w:gridSpan w:val="6"/>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现状2020年情况</w:t>
            </w:r>
          </w:p>
        </w:tc>
        <w:tc>
          <w:tcPr>
            <w:tcW w:w="5129" w:type="dxa"/>
            <w:gridSpan w:val="5"/>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规划2025年情况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5" w:hRule="atLeast"/>
        </w:trPr>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76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5452"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用水人口(人)</w:t>
            </w:r>
          </w:p>
        </w:tc>
        <w:tc>
          <w:tcPr>
            <w:tcW w:w="1082" w:type="dxa"/>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工业生产增加值(万元）</w:t>
            </w:r>
          </w:p>
        </w:tc>
        <w:tc>
          <w:tcPr>
            <w:tcW w:w="4204" w:type="dxa"/>
            <w:gridSpan w:val="4"/>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用水人口(人)</w:t>
            </w:r>
          </w:p>
        </w:tc>
        <w:tc>
          <w:tcPr>
            <w:tcW w:w="925" w:type="dxa"/>
            <w:vMerge w:val="restart"/>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工业生产增加值(万元）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trPr>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76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小计</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小计</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城区</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乡镇所在地</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乡镇以下</w:t>
            </w:r>
          </w:p>
        </w:tc>
        <w:tc>
          <w:tcPr>
            <w:tcW w:w="1082" w:type="dxa"/>
            <w:vMerge w:val="continue"/>
            <w:tcBorders>
              <w:top w:val="single" w:color="000000" w:sz="4" w:space="0"/>
              <w:left w:val="single" w:color="000000" w:sz="4" w:space="0"/>
              <w:bottom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小计</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城区</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乡镇所在地</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乡镇以下</w:t>
            </w:r>
          </w:p>
        </w:tc>
        <w:tc>
          <w:tcPr>
            <w:tcW w:w="925" w:type="dxa"/>
            <w:vMerge w:val="continue"/>
            <w:tcBorders>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3</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4</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5</w:t>
            </w:r>
          </w:p>
        </w:tc>
        <w:tc>
          <w:tcPr>
            <w:tcW w:w="1082"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6</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7</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8</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9</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10</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雁家湖水厂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69154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69154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40912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15617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12625 </w:t>
            </w:r>
          </w:p>
        </w:tc>
        <w:tc>
          <w:tcPr>
            <w:tcW w:w="1082"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174557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71515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42575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16252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12688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268578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林泉水厂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31277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31277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6595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24682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4045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20423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6863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13560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6223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3</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红桥水厂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23194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23194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7404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15790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551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18785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6705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12080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848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4</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磨溪水厂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11185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11185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340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10845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537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11669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354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11315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5</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车桥水厂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10498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10498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694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9804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457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10959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722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10237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6</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邹桥水厂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14316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14316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256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14060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3084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15992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266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15726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4745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7</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塘山水厂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6258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6258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108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6150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78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6533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112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6421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8</w:t>
            </w: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彭山水厂</w:t>
            </w:r>
          </w:p>
        </w:tc>
        <w:tc>
          <w:tcPr>
            <w:tcW w:w="113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73359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19111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5000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17111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112872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b/>
                <w:i w:val="0"/>
                <w:color w:val="000000"/>
                <w:sz w:val="24"/>
                <w:szCs w:val="24"/>
                <w:u w:val="none"/>
              </w:rPr>
            </w:pPr>
          </w:p>
        </w:tc>
        <w:tc>
          <w:tcPr>
            <w:tcW w:w="176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全县合计</w:t>
            </w:r>
          </w:p>
        </w:tc>
        <w:tc>
          <w:tcPr>
            <w:tcW w:w="113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165882 </w:t>
            </w:r>
          </w:p>
        </w:tc>
        <w:tc>
          <w:tcPr>
            <w:tcW w:w="107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165882 </w:t>
            </w:r>
          </w:p>
        </w:tc>
        <w:tc>
          <w:tcPr>
            <w:tcW w:w="1018"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40912 </w:t>
            </w:r>
          </w:p>
        </w:tc>
        <w:tc>
          <w:tcPr>
            <w:tcW w:w="107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31014 </w:t>
            </w:r>
          </w:p>
        </w:tc>
        <w:tc>
          <w:tcPr>
            <w:tcW w:w="1137"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93956 </w:t>
            </w:r>
          </w:p>
        </w:tc>
        <w:tc>
          <w:tcPr>
            <w:tcW w:w="1082" w:type="dxa"/>
            <w:tcBorders>
              <w:top w:val="single" w:color="000000" w:sz="4" w:space="0"/>
              <w:bottom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256668 </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174987 </w:t>
            </w:r>
          </w:p>
        </w:tc>
        <w:tc>
          <w:tcPr>
            <w:tcW w:w="8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42575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36275 </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99137 </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394915 </w:t>
            </w:r>
          </w:p>
        </w:tc>
      </w:tr>
    </w:tbl>
    <w:p>
      <w:pPr>
        <w:pStyle w:val="2"/>
        <w:ind w:left="0" w:leftChars="0" w:firstLine="0" w:firstLineChars="0"/>
        <w:rPr>
          <w:rFonts w:hint="default"/>
          <w:lang w:val="en-US" w:eastAsia="zh-CN"/>
        </w:rPr>
        <w:sectPr>
          <w:pgSz w:w="16840" w:h="11907" w:orient="landscape"/>
          <w:pgMar w:top="1440" w:right="1800" w:bottom="1440" w:left="1800" w:header="851" w:footer="992" w:gutter="0"/>
          <w:pgNumType w:fmt="decimal"/>
          <w:cols w:space="720" w:num="1"/>
          <w:docGrid w:linePitch="381" w:charSpace="0"/>
        </w:sectPr>
      </w:pPr>
    </w:p>
    <w:p>
      <w:pPr>
        <w:keepNext/>
        <w:keepLines/>
        <w:pageBreakBefore w:val="0"/>
        <w:widowControl w:val="0"/>
        <w:numPr>
          <w:ilvl w:val="3"/>
          <w:numId w:val="1"/>
        </w:numPr>
        <w:kinsoku/>
        <w:wordWrap/>
        <w:overflowPunct/>
        <w:topLinePunct w:val="0"/>
        <w:autoSpaceDE/>
        <w:autoSpaceDN/>
        <w:bidi w:val="0"/>
        <w:adjustRightInd/>
        <w:snapToGrid/>
        <w:spacing w:line="360" w:lineRule="auto"/>
        <w:ind w:left="1276" w:leftChars="0" w:firstLine="0" w:firstLineChars="0"/>
        <w:jc w:val="both"/>
        <w:textAlignment w:val="auto"/>
        <w:outlineLvl w:val="3"/>
        <w:rPr>
          <w:rFonts w:hint="default"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用水定额分析</w:t>
      </w:r>
    </w:p>
    <w:p>
      <w:pPr>
        <w:spacing w:line="360" w:lineRule="auto"/>
        <w:ind w:firstLine="480" w:firstLineChars="200"/>
        <w:rPr>
          <w:rFonts w:hint="eastAsia" w:ascii="宋体" w:hAnsi="宋体"/>
          <w:bCs/>
          <w:sz w:val="24"/>
        </w:rPr>
      </w:pPr>
      <w:r>
        <w:rPr>
          <w:rFonts w:hint="eastAsia" w:ascii="宋体" w:hAnsi="宋体"/>
          <w:bCs/>
          <w:sz w:val="24"/>
        </w:rPr>
        <w:t>各类用水户用水定额取值的合理性，是关系到确定设计用水规模重要环节之一。居民生活用水定额，在有调查资料的地区，采用调查资料分析成果；在无资料地区，根据当地经济水平的差异，参照下列情况取值：县城居民生活</w:t>
      </w:r>
      <w:r>
        <w:rPr>
          <w:rFonts w:hint="eastAsia" w:ascii="宋体" w:hAnsi="宋体"/>
          <w:bCs/>
          <w:sz w:val="24"/>
          <w:lang w:val="en-US" w:eastAsia="zh-CN"/>
        </w:rPr>
        <w:t>最高日</w:t>
      </w:r>
      <w:r>
        <w:rPr>
          <w:rFonts w:hint="eastAsia" w:ascii="宋体" w:hAnsi="宋体"/>
          <w:bCs/>
          <w:sz w:val="24"/>
        </w:rPr>
        <w:t>用水定额取值为1</w:t>
      </w:r>
      <w:r>
        <w:rPr>
          <w:rFonts w:hint="eastAsia" w:ascii="宋体" w:hAnsi="宋体"/>
          <w:bCs/>
          <w:sz w:val="24"/>
          <w:lang w:val="en-US" w:eastAsia="zh-CN"/>
        </w:rPr>
        <w:t>4</w:t>
      </w:r>
      <w:r>
        <w:rPr>
          <w:rFonts w:hint="eastAsia" w:ascii="宋体" w:hAnsi="宋体"/>
          <w:bCs/>
          <w:sz w:val="24"/>
        </w:rPr>
        <w:t>0～</w:t>
      </w:r>
      <w:r>
        <w:rPr>
          <w:rFonts w:hint="eastAsia" w:ascii="宋体" w:hAnsi="宋体"/>
          <w:bCs/>
          <w:sz w:val="24"/>
          <w:lang w:val="en-US" w:eastAsia="zh-CN"/>
        </w:rPr>
        <w:t>23</w:t>
      </w:r>
      <w:r>
        <w:rPr>
          <w:rFonts w:hint="eastAsia" w:ascii="宋体" w:hAnsi="宋体"/>
          <w:bCs/>
          <w:sz w:val="24"/>
        </w:rPr>
        <w:t>0L/(d·人)，乡镇所在地居民生活</w:t>
      </w:r>
      <w:r>
        <w:rPr>
          <w:rFonts w:hint="eastAsia" w:ascii="宋体" w:hAnsi="宋体"/>
          <w:bCs/>
          <w:sz w:val="24"/>
          <w:lang w:val="en-US" w:eastAsia="zh-CN"/>
        </w:rPr>
        <w:t>最高日</w:t>
      </w:r>
      <w:r>
        <w:rPr>
          <w:rFonts w:hint="eastAsia" w:ascii="宋体" w:hAnsi="宋体"/>
          <w:bCs/>
          <w:sz w:val="24"/>
        </w:rPr>
        <w:t>用水定额取值为110～140L/(d·人)，乡镇以下居民生活</w:t>
      </w:r>
      <w:r>
        <w:rPr>
          <w:rFonts w:hint="eastAsia" w:ascii="宋体" w:hAnsi="宋体"/>
          <w:bCs/>
          <w:sz w:val="24"/>
          <w:lang w:val="en-US" w:eastAsia="zh-CN"/>
        </w:rPr>
        <w:t>最高日</w:t>
      </w:r>
      <w:r>
        <w:rPr>
          <w:rFonts w:hint="eastAsia" w:ascii="宋体" w:hAnsi="宋体"/>
          <w:bCs/>
          <w:sz w:val="24"/>
        </w:rPr>
        <w:t>用水定额取值为70～110L/(d·人)。</w:t>
      </w:r>
    </w:p>
    <w:p>
      <w:pPr>
        <w:spacing w:line="360" w:lineRule="auto"/>
        <w:ind w:firstLine="480" w:firstLineChars="200"/>
        <w:rPr>
          <w:rFonts w:hint="eastAsia" w:ascii="宋体" w:hAnsi="宋体"/>
          <w:bCs/>
          <w:sz w:val="24"/>
        </w:rPr>
      </w:pPr>
      <w:r>
        <w:rPr>
          <w:rFonts w:hint="eastAsia" w:ascii="宋体" w:hAnsi="宋体"/>
          <w:bCs/>
          <w:sz w:val="24"/>
        </w:rPr>
        <w:t>本次规划参考</w:t>
      </w:r>
      <w:r>
        <w:rPr>
          <w:rFonts w:hint="eastAsia" w:ascii="宋体" w:hAnsi="宋体"/>
          <w:bCs/>
          <w:sz w:val="24"/>
          <w:lang w:val="en-US" w:eastAsia="zh-CN"/>
        </w:rPr>
        <w:t>德安</w:t>
      </w:r>
      <w:r>
        <w:rPr>
          <w:rFonts w:hint="eastAsia" w:ascii="宋体" w:hAnsi="宋体"/>
          <w:bCs/>
          <w:sz w:val="24"/>
        </w:rPr>
        <w:t>城市总体规划、自来水公司提供的实际用水数据，最终确定县城居民生活</w:t>
      </w:r>
      <w:r>
        <w:rPr>
          <w:rFonts w:hint="eastAsia" w:ascii="宋体" w:hAnsi="宋体"/>
          <w:bCs/>
          <w:sz w:val="24"/>
          <w:lang w:val="en-US" w:eastAsia="zh-CN"/>
        </w:rPr>
        <w:t>最高日</w:t>
      </w:r>
      <w:r>
        <w:rPr>
          <w:rFonts w:hint="eastAsia" w:ascii="宋体" w:hAnsi="宋体"/>
          <w:bCs/>
          <w:sz w:val="24"/>
        </w:rPr>
        <w:t>用水定额取值为</w:t>
      </w:r>
      <w:r>
        <w:rPr>
          <w:rFonts w:hint="eastAsia" w:ascii="宋体" w:hAnsi="宋体"/>
          <w:bCs/>
          <w:sz w:val="24"/>
          <w:lang w:val="en-US" w:eastAsia="zh-CN"/>
        </w:rPr>
        <w:t>18</w:t>
      </w:r>
      <w:r>
        <w:rPr>
          <w:rFonts w:hint="eastAsia" w:ascii="宋体" w:hAnsi="宋体"/>
          <w:bCs/>
          <w:sz w:val="24"/>
        </w:rPr>
        <w:t>0L/(d·人)，乡镇所在地居民生活用水</w:t>
      </w:r>
      <w:r>
        <w:rPr>
          <w:rFonts w:hint="eastAsia" w:ascii="宋体" w:hAnsi="宋体"/>
          <w:bCs/>
          <w:sz w:val="24"/>
          <w:lang w:val="en-US" w:eastAsia="zh-CN"/>
        </w:rPr>
        <w:t>最高日</w:t>
      </w:r>
      <w:r>
        <w:rPr>
          <w:rFonts w:hint="eastAsia" w:ascii="宋体" w:hAnsi="宋体"/>
          <w:bCs/>
          <w:sz w:val="24"/>
        </w:rPr>
        <w:t>定额取值为1</w:t>
      </w:r>
      <w:r>
        <w:rPr>
          <w:rFonts w:hint="eastAsia" w:ascii="宋体" w:hAnsi="宋体"/>
          <w:bCs/>
          <w:sz w:val="24"/>
          <w:lang w:val="en-US" w:eastAsia="zh-CN"/>
        </w:rPr>
        <w:t>4</w:t>
      </w:r>
      <w:r>
        <w:rPr>
          <w:rFonts w:hint="eastAsia" w:ascii="宋体" w:hAnsi="宋体"/>
          <w:bCs/>
          <w:sz w:val="24"/>
        </w:rPr>
        <w:t>0L/(d·人)，乡镇以下居民生活用水</w:t>
      </w:r>
      <w:r>
        <w:rPr>
          <w:rFonts w:hint="eastAsia" w:ascii="宋体" w:hAnsi="宋体"/>
          <w:bCs/>
          <w:sz w:val="24"/>
          <w:lang w:val="en-US" w:eastAsia="zh-CN"/>
        </w:rPr>
        <w:t>最高日</w:t>
      </w:r>
      <w:r>
        <w:rPr>
          <w:rFonts w:hint="eastAsia" w:ascii="宋体" w:hAnsi="宋体"/>
          <w:bCs/>
          <w:sz w:val="24"/>
        </w:rPr>
        <w:t>定额取值为80L/(d·人)</w:t>
      </w:r>
      <w:r>
        <w:rPr>
          <w:rFonts w:hint="eastAsia" w:ascii="宋体" w:hAnsi="宋体"/>
          <w:bCs/>
          <w:sz w:val="24"/>
          <w:lang w:eastAsia="zh-CN"/>
        </w:rPr>
        <w:t>；</w:t>
      </w:r>
      <w:r>
        <w:rPr>
          <w:rFonts w:hint="eastAsia" w:ascii="宋体" w:hAnsi="宋体"/>
          <w:bCs/>
          <w:sz w:val="24"/>
        </w:rPr>
        <w:t>万元工业增加值用水定额取值为</w:t>
      </w:r>
      <w:r>
        <w:rPr>
          <w:rFonts w:hint="eastAsia" w:ascii="宋体" w:hAnsi="宋体"/>
          <w:bCs/>
          <w:sz w:val="24"/>
          <w:lang w:val="en-US" w:eastAsia="zh-CN"/>
        </w:rPr>
        <w:t>3</w:t>
      </w:r>
      <w:r>
        <w:rPr>
          <w:rFonts w:hint="eastAsia" w:ascii="宋体" w:hAnsi="宋体"/>
          <w:bCs/>
          <w:sz w:val="24"/>
        </w:rPr>
        <w:t>0m3/万元。</w:t>
      </w:r>
    </w:p>
    <w:p>
      <w:pPr>
        <w:spacing w:line="360" w:lineRule="auto"/>
        <w:ind w:firstLine="480" w:firstLineChars="200"/>
        <w:jc w:val="center"/>
        <w:rPr>
          <w:rFonts w:hint="eastAsia" w:ascii="宋体" w:hAnsi="宋体"/>
          <w:bCs/>
          <w:sz w:val="24"/>
        </w:rPr>
      </w:pPr>
      <w:r>
        <w:rPr>
          <w:rFonts w:hint="eastAsia" w:ascii="宋体" w:hAnsi="宋体"/>
          <w:bCs/>
          <w:sz w:val="24"/>
          <w:lang w:val="en-US" w:eastAsia="zh-CN"/>
        </w:rPr>
        <w:t>德安县</w:t>
      </w:r>
      <w:r>
        <w:rPr>
          <w:rFonts w:hint="eastAsia" w:ascii="宋体" w:hAnsi="宋体"/>
          <w:bCs/>
          <w:sz w:val="24"/>
        </w:rPr>
        <w:t>自来水工程</w:t>
      </w:r>
      <w:r>
        <w:rPr>
          <w:rFonts w:hint="eastAsia" w:ascii="宋体" w:hAnsi="宋体"/>
          <w:bCs/>
          <w:sz w:val="24"/>
          <w:lang w:val="en-US" w:eastAsia="zh-CN"/>
        </w:rPr>
        <w:t>最高日</w:t>
      </w:r>
      <w:r>
        <w:rPr>
          <w:rFonts w:hint="eastAsia" w:ascii="宋体" w:hAnsi="宋体"/>
          <w:bCs/>
          <w:sz w:val="24"/>
        </w:rPr>
        <w:t>用水定额表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848"/>
        <w:gridCol w:w="1848"/>
        <w:gridCol w:w="1993"/>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noWrap w:val="0"/>
            <w:vAlign w:val="center"/>
          </w:tcPr>
          <w:p>
            <w:pPr>
              <w:widowControl/>
              <w:spacing w:line="360" w:lineRule="auto"/>
              <w:jc w:val="center"/>
              <w:rPr>
                <w:rFonts w:hint="eastAsia" w:ascii="宋体" w:hAnsi="宋体"/>
                <w:bCs/>
                <w:sz w:val="24"/>
              </w:rPr>
            </w:pPr>
            <w:r>
              <w:rPr>
                <w:rFonts w:hint="eastAsia" w:ascii="宋体" w:hAnsi="宋体"/>
                <w:bCs/>
                <w:sz w:val="24"/>
              </w:rPr>
              <w:t>项目名称</w:t>
            </w:r>
          </w:p>
        </w:tc>
        <w:tc>
          <w:tcPr>
            <w:tcW w:w="1848" w:type="dxa"/>
            <w:noWrap w:val="0"/>
            <w:vAlign w:val="center"/>
          </w:tcPr>
          <w:p>
            <w:pPr>
              <w:widowControl/>
              <w:spacing w:line="360" w:lineRule="auto"/>
              <w:jc w:val="center"/>
              <w:rPr>
                <w:rFonts w:ascii="宋体" w:hAnsi="宋体"/>
                <w:bCs/>
                <w:sz w:val="24"/>
              </w:rPr>
            </w:pPr>
            <w:r>
              <w:rPr>
                <w:rFonts w:ascii="宋体" w:hAnsi="宋体"/>
                <w:bCs/>
                <w:sz w:val="24"/>
              </w:rPr>
              <w:t>县城居民</w:t>
            </w:r>
          </w:p>
          <w:p>
            <w:pPr>
              <w:widowControl/>
              <w:spacing w:line="360" w:lineRule="auto"/>
              <w:jc w:val="center"/>
              <w:rPr>
                <w:rFonts w:ascii="宋体" w:hAnsi="宋体"/>
                <w:bCs/>
                <w:sz w:val="24"/>
              </w:rPr>
            </w:pPr>
            <w:r>
              <w:rPr>
                <w:rFonts w:ascii="宋体" w:hAnsi="宋体"/>
                <w:bCs/>
                <w:sz w:val="24"/>
              </w:rPr>
              <w:t>L/（人﹒d）</w:t>
            </w:r>
          </w:p>
        </w:tc>
        <w:tc>
          <w:tcPr>
            <w:tcW w:w="1848" w:type="dxa"/>
            <w:noWrap w:val="0"/>
            <w:vAlign w:val="center"/>
          </w:tcPr>
          <w:p>
            <w:pPr>
              <w:widowControl/>
              <w:spacing w:line="360" w:lineRule="auto"/>
              <w:jc w:val="center"/>
              <w:rPr>
                <w:rFonts w:ascii="宋体" w:hAnsi="宋体"/>
                <w:bCs/>
                <w:sz w:val="24"/>
              </w:rPr>
            </w:pPr>
            <w:r>
              <w:rPr>
                <w:rFonts w:ascii="宋体" w:hAnsi="宋体"/>
                <w:bCs/>
                <w:sz w:val="24"/>
              </w:rPr>
              <w:t>乡镇居民</w:t>
            </w:r>
          </w:p>
          <w:p>
            <w:pPr>
              <w:widowControl/>
              <w:spacing w:line="360" w:lineRule="auto"/>
              <w:jc w:val="center"/>
              <w:rPr>
                <w:rFonts w:ascii="宋体" w:hAnsi="宋体"/>
                <w:bCs/>
                <w:sz w:val="24"/>
              </w:rPr>
            </w:pPr>
            <w:r>
              <w:rPr>
                <w:rFonts w:ascii="宋体" w:hAnsi="宋体"/>
                <w:bCs/>
                <w:sz w:val="24"/>
              </w:rPr>
              <w:t>L/（人﹒d）</w:t>
            </w:r>
          </w:p>
        </w:tc>
        <w:tc>
          <w:tcPr>
            <w:tcW w:w="1993" w:type="dxa"/>
            <w:noWrap w:val="0"/>
            <w:vAlign w:val="center"/>
          </w:tcPr>
          <w:p>
            <w:pPr>
              <w:spacing w:line="360" w:lineRule="auto"/>
              <w:jc w:val="center"/>
              <w:rPr>
                <w:rFonts w:ascii="宋体" w:hAnsi="宋体"/>
                <w:bCs/>
                <w:sz w:val="24"/>
              </w:rPr>
            </w:pPr>
            <w:r>
              <w:rPr>
                <w:rFonts w:ascii="宋体" w:hAnsi="宋体"/>
                <w:bCs/>
                <w:sz w:val="24"/>
              </w:rPr>
              <w:t>乡镇以下居民</w:t>
            </w:r>
          </w:p>
          <w:p>
            <w:pPr>
              <w:spacing w:line="360" w:lineRule="auto"/>
              <w:jc w:val="center"/>
              <w:rPr>
                <w:rFonts w:ascii="宋体" w:hAnsi="宋体"/>
                <w:bCs/>
                <w:sz w:val="24"/>
              </w:rPr>
            </w:pPr>
            <w:r>
              <w:rPr>
                <w:rFonts w:ascii="宋体" w:hAnsi="宋体"/>
                <w:bCs/>
                <w:sz w:val="24"/>
              </w:rPr>
              <w:t>L/（人﹒d）</w:t>
            </w:r>
          </w:p>
        </w:tc>
        <w:tc>
          <w:tcPr>
            <w:tcW w:w="1416" w:type="dxa"/>
            <w:noWrap w:val="0"/>
            <w:vAlign w:val="center"/>
          </w:tcPr>
          <w:p>
            <w:pPr>
              <w:widowControl/>
              <w:spacing w:line="360" w:lineRule="auto"/>
              <w:jc w:val="center"/>
              <w:rPr>
                <w:rFonts w:ascii="宋体" w:hAnsi="宋体"/>
                <w:bCs/>
                <w:sz w:val="24"/>
              </w:rPr>
            </w:pPr>
            <w:r>
              <w:rPr>
                <w:rFonts w:ascii="宋体" w:hAnsi="宋体"/>
                <w:bCs/>
                <w:sz w:val="24"/>
              </w:rPr>
              <w:t>万元工业</w:t>
            </w:r>
          </w:p>
          <w:p>
            <w:pPr>
              <w:widowControl/>
              <w:spacing w:line="360" w:lineRule="auto"/>
              <w:jc w:val="center"/>
              <w:rPr>
                <w:rFonts w:ascii="宋体" w:hAnsi="宋体"/>
                <w:bCs/>
                <w:sz w:val="24"/>
              </w:rPr>
            </w:pPr>
            <w:r>
              <w:rPr>
                <w:rFonts w:ascii="宋体" w:hAnsi="宋体"/>
                <w:bCs/>
                <w:sz w:val="24"/>
              </w:rPr>
              <w:t>m3/万元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noWrap w:val="0"/>
            <w:vAlign w:val="center"/>
          </w:tcPr>
          <w:p>
            <w:pPr>
              <w:widowControl/>
              <w:spacing w:line="360" w:lineRule="auto"/>
              <w:jc w:val="center"/>
              <w:rPr>
                <w:rFonts w:ascii="宋体" w:hAnsi="宋体"/>
                <w:bCs/>
                <w:sz w:val="24"/>
              </w:rPr>
            </w:pPr>
            <w:r>
              <w:rPr>
                <w:rFonts w:ascii="宋体" w:hAnsi="宋体"/>
                <w:bCs/>
                <w:sz w:val="24"/>
              </w:rPr>
              <w:t>用水定额</w:t>
            </w:r>
          </w:p>
        </w:tc>
        <w:tc>
          <w:tcPr>
            <w:tcW w:w="1848" w:type="dxa"/>
            <w:noWrap w:val="0"/>
            <w:vAlign w:val="center"/>
          </w:tcPr>
          <w:p>
            <w:pPr>
              <w:widowControl/>
              <w:spacing w:line="360" w:lineRule="auto"/>
              <w:jc w:val="center"/>
              <w:rPr>
                <w:rFonts w:ascii="宋体" w:hAnsi="宋体"/>
                <w:bCs/>
                <w:sz w:val="24"/>
              </w:rPr>
            </w:pPr>
            <w:r>
              <w:rPr>
                <w:rFonts w:hint="eastAsia" w:ascii="宋体" w:hAnsi="宋体"/>
                <w:bCs/>
                <w:sz w:val="24"/>
                <w:lang w:val="en-US" w:eastAsia="zh-CN"/>
              </w:rPr>
              <w:t>180</w:t>
            </w:r>
          </w:p>
        </w:tc>
        <w:tc>
          <w:tcPr>
            <w:tcW w:w="1848" w:type="dxa"/>
            <w:noWrap w:val="0"/>
            <w:vAlign w:val="center"/>
          </w:tcPr>
          <w:p>
            <w:pPr>
              <w:widowControl/>
              <w:spacing w:line="360" w:lineRule="auto"/>
              <w:jc w:val="center"/>
              <w:rPr>
                <w:rFonts w:ascii="宋体" w:hAnsi="宋体"/>
                <w:bCs/>
                <w:sz w:val="24"/>
              </w:rPr>
            </w:pPr>
            <w:r>
              <w:rPr>
                <w:rFonts w:ascii="宋体" w:hAnsi="宋体"/>
                <w:bCs/>
                <w:sz w:val="24"/>
              </w:rPr>
              <w:t>1</w:t>
            </w:r>
            <w:r>
              <w:rPr>
                <w:rFonts w:hint="eastAsia" w:ascii="宋体" w:hAnsi="宋体"/>
                <w:bCs/>
                <w:sz w:val="24"/>
                <w:lang w:val="en-US" w:eastAsia="zh-CN"/>
              </w:rPr>
              <w:t>4</w:t>
            </w:r>
            <w:r>
              <w:rPr>
                <w:rFonts w:ascii="宋体" w:hAnsi="宋体"/>
                <w:bCs/>
                <w:sz w:val="24"/>
              </w:rPr>
              <w:t>0</w:t>
            </w:r>
          </w:p>
        </w:tc>
        <w:tc>
          <w:tcPr>
            <w:tcW w:w="1993" w:type="dxa"/>
            <w:noWrap w:val="0"/>
            <w:vAlign w:val="center"/>
          </w:tcPr>
          <w:p>
            <w:pPr>
              <w:spacing w:line="360" w:lineRule="auto"/>
              <w:jc w:val="center"/>
              <w:rPr>
                <w:rFonts w:ascii="宋体" w:hAnsi="宋体"/>
                <w:bCs/>
                <w:sz w:val="24"/>
              </w:rPr>
            </w:pPr>
            <w:r>
              <w:rPr>
                <w:rFonts w:hint="eastAsia" w:ascii="宋体" w:hAnsi="宋体"/>
                <w:bCs/>
                <w:sz w:val="24"/>
              </w:rPr>
              <w:t>80</w:t>
            </w:r>
          </w:p>
        </w:tc>
        <w:tc>
          <w:tcPr>
            <w:tcW w:w="1416" w:type="dxa"/>
            <w:noWrap w:val="0"/>
            <w:vAlign w:val="center"/>
          </w:tcPr>
          <w:p>
            <w:pPr>
              <w:widowControl/>
              <w:spacing w:line="360" w:lineRule="auto"/>
              <w:jc w:val="center"/>
              <w:rPr>
                <w:rFonts w:hint="eastAsia" w:ascii="宋体" w:hAnsi="宋体"/>
                <w:bCs/>
                <w:sz w:val="24"/>
              </w:rPr>
            </w:pPr>
            <w:r>
              <w:rPr>
                <w:rFonts w:hint="eastAsia" w:ascii="宋体" w:hAnsi="宋体"/>
                <w:bCs/>
                <w:sz w:val="24"/>
                <w:lang w:val="en-US" w:eastAsia="zh-CN"/>
              </w:rPr>
              <w:t>3</w:t>
            </w:r>
            <w:r>
              <w:rPr>
                <w:rFonts w:hint="eastAsia" w:ascii="宋体" w:hAnsi="宋体"/>
                <w:bCs/>
                <w:sz w:val="24"/>
              </w:rPr>
              <w:t>0</w:t>
            </w:r>
          </w:p>
        </w:tc>
      </w:tr>
    </w:tbl>
    <w:p>
      <w:pPr>
        <w:spacing w:line="360" w:lineRule="auto"/>
        <w:ind w:firstLine="480" w:firstLineChars="200"/>
        <w:rPr>
          <w:rFonts w:hint="default" w:ascii="宋体" w:hAnsi="宋体"/>
          <w:bCs/>
          <w:sz w:val="24"/>
          <w:szCs w:val="22"/>
          <w:lang w:val="en-US" w:eastAsia="zh-CN"/>
        </w:rPr>
      </w:pPr>
    </w:p>
    <w:p>
      <w:pPr>
        <w:keepNext/>
        <w:keepLines/>
        <w:pageBreakBefore w:val="0"/>
        <w:widowControl w:val="0"/>
        <w:numPr>
          <w:ilvl w:val="3"/>
          <w:numId w:val="1"/>
        </w:numPr>
        <w:kinsoku/>
        <w:wordWrap/>
        <w:overflowPunct/>
        <w:topLinePunct w:val="0"/>
        <w:autoSpaceDE/>
        <w:autoSpaceDN/>
        <w:bidi w:val="0"/>
        <w:adjustRightInd/>
        <w:snapToGrid/>
        <w:spacing w:line="360" w:lineRule="auto"/>
        <w:ind w:left="1276" w:leftChars="0" w:firstLine="0" w:firstLineChars="0"/>
        <w:jc w:val="both"/>
        <w:textAlignment w:val="auto"/>
        <w:outlineLvl w:val="3"/>
        <w:rPr>
          <w:rFonts w:hint="default"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日变化系数</w:t>
      </w:r>
    </w:p>
    <w:p>
      <w:pPr>
        <w:spacing w:line="360" w:lineRule="auto"/>
        <w:ind w:firstLine="480" w:firstLineChars="200"/>
        <w:rPr>
          <w:rFonts w:hint="default" w:ascii="宋体" w:hAnsi="宋体"/>
          <w:bCs/>
          <w:sz w:val="24"/>
          <w:szCs w:val="22"/>
          <w:lang w:val="en-US" w:eastAsia="zh-CN"/>
        </w:rPr>
      </w:pPr>
      <w:r>
        <w:rPr>
          <w:rFonts w:hint="eastAsia" w:ascii="宋体" w:hAnsi="宋体"/>
          <w:bCs/>
          <w:sz w:val="24"/>
          <w:szCs w:val="22"/>
          <w:lang w:val="en-US" w:eastAsia="zh-CN"/>
        </w:rPr>
        <w:t>1、根据《室外给水设计规范》（GB50013-2018）4.09条</w:t>
      </w:r>
    </w:p>
    <w:p>
      <w:pPr>
        <w:spacing w:line="360" w:lineRule="auto"/>
        <w:ind w:firstLine="480" w:firstLineChars="200"/>
        <w:rPr>
          <w:rFonts w:hint="eastAsia"/>
          <w:lang w:val="en-US" w:eastAsia="zh-CN"/>
        </w:rPr>
      </w:pPr>
      <w:r>
        <w:rPr>
          <w:rFonts w:hint="eastAsia" w:ascii="宋体" w:hAnsi="宋体"/>
          <w:bCs/>
          <w:sz w:val="24"/>
          <w:szCs w:val="22"/>
          <w:lang w:val="en-US" w:eastAsia="zh-CN"/>
        </w:rPr>
        <w:t>城镇供水的时变化系数、日变化系数应根据城镇性质和规模、国民经济和社会发展、供水系统布局，结合现状供水曲线和日用水变化分析确定。</w:t>
      </w:r>
      <w:r>
        <w:rPr>
          <w:rFonts w:hint="eastAsia"/>
          <w:lang w:val="en-US" w:eastAsia="zh-CN"/>
        </w:rPr>
        <w:t>最高日城市综合用水的时变化系数宜采用1.2~1.6；日变化系数宜采用1.1~1.5。</w:t>
      </w:r>
    </w:p>
    <w:p>
      <w:pPr>
        <w:numPr>
          <w:ilvl w:val="0"/>
          <w:numId w:val="0"/>
        </w:numPr>
        <w:spacing w:line="360" w:lineRule="auto"/>
        <w:ind w:leftChars="200"/>
        <w:rPr>
          <w:rFonts w:hint="eastAsia" w:ascii="宋体" w:hAnsi="宋体"/>
          <w:bCs/>
          <w:sz w:val="24"/>
          <w:szCs w:val="22"/>
          <w:lang w:val="en-US" w:eastAsia="zh-CN"/>
        </w:rPr>
      </w:pPr>
      <w:r>
        <w:rPr>
          <w:rFonts w:hint="eastAsia" w:ascii="宋体" w:hAnsi="宋体"/>
          <w:bCs/>
          <w:sz w:val="24"/>
          <w:szCs w:val="22"/>
          <w:lang w:val="en-US" w:eastAsia="zh-CN"/>
        </w:rPr>
        <w:t>2、村镇供水工程技术规范（SL310-2004）</w:t>
      </w:r>
    </w:p>
    <w:p>
      <w:pPr>
        <w:spacing w:line="360" w:lineRule="auto"/>
        <w:ind w:firstLine="480" w:firstLineChars="200"/>
        <w:rPr>
          <w:rFonts w:hint="eastAsia" w:ascii="宋体" w:hAnsi="宋体"/>
          <w:bCs/>
          <w:sz w:val="24"/>
          <w:szCs w:val="22"/>
          <w:lang w:val="en-US" w:eastAsia="zh-CN"/>
        </w:rPr>
      </w:pPr>
      <w:r>
        <w:rPr>
          <w:rFonts w:hint="eastAsia" w:ascii="宋体" w:hAnsi="宋体"/>
          <w:bCs/>
          <w:sz w:val="24"/>
          <w:szCs w:val="22"/>
          <w:lang w:val="en-US" w:eastAsia="zh-CN"/>
        </w:rPr>
        <w:t>1）、时变化系数，应根据各村镇的供水规模、供水方式，生活用水和企业用水的条件、方式和比例，结合当地相似供水工程的最高日供水情况综合分析确定。</w:t>
      </w:r>
    </w:p>
    <w:p>
      <w:pPr>
        <w:spacing w:line="360" w:lineRule="auto"/>
        <w:ind w:firstLine="480" w:firstLineChars="200"/>
        <w:rPr>
          <w:rFonts w:hint="eastAsia" w:ascii="宋体" w:hAnsi="宋体"/>
          <w:bCs/>
          <w:sz w:val="24"/>
          <w:szCs w:val="22"/>
          <w:lang w:val="en-US" w:eastAsia="zh-CN"/>
        </w:rPr>
      </w:pPr>
      <w:r>
        <w:rPr>
          <w:rFonts w:hint="eastAsia" w:ascii="宋体" w:hAnsi="宋体"/>
          <w:bCs/>
          <w:sz w:val="24"/>
          <w:szCs w:val="22"/>
          <w:lang w:val="en-US" w:eastAsia="zh-CN"/>
        </w:rPr>
        <w:t>（1）全日供水工程的时变化系数，可按下表确定：</w:t>
      </w:r>
    </w:p>
    <w:p>
      <w:pPr>
        <w:widowControl/>
        <w:spacing w:line="360" w:lineRule="auto"/>
        <w:jc w:val="center"/>
        <w:rPr>
          <w:rFonts w:hint="eastAsia" w:ascii="宋体" w:hAnsi="宋体" w:cs="宋体"/>
          <w:b/>
          <w:kern w:val="0"/>
          <w:sz w:val="23"/>
          <w:szCs w:val="23"/>
        </w:rPr>
      </w:pPr>
      <w:r>
        <w:rPr>
          <w:rFonts w:hint="eastAsia" w:ascii="宋体" w:hAnsi="宋体" w:cs="宋体"/>
          <w:b/>
          <w:kern w:val="0"/>
          <w:sz w:val="23"/>
          <w:szCs w:val="23"/>
        </w:rPr>
        <w:t>全日供水工程的时变化系数</w:t>
      </w:r>
    </w:p>
    <w:tbl>
      <w:tblPr>
        <w:tblStyle w:val="32"/>
        <w:tblW w:w="0" w:type="auto"/>
        <w:tblInd w:w="31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74"/>
        <w:gridCol w:w="1557"/>
        <w:gridCol w:w="1558"/>
        <w:gridCol w:w="1558"/>
        <w:gridCol w:w="15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供水规模w（m</w:t>
            </w:r>
            <w:r>
              <w:rPr>
                <w:rFonts w:hint="eastAsia" w:ascii="宋体" w:hAnsi="宋体" w:cs="宋体"/>
                <w:kern w:val="0"/>
                <w:sz w:val="23"/>
                <w:szCs w:val="23"/>
                <w:vertAlign w:val="superscript"/>
              </w:rPr>
              <w:t>3</w:t>
            </w:r>
            <w:r>
              <w:rPr>
                <w:rFonts w:hint="eastAsia" w:ascii="宋体" w:hAnsi="宋体" w:cs="宋体"/>
                <w:kern w:val="0"/>
                <w:sz w:val="23"/>
                <w:szCs w:val="23"/>
              </w:rPr>
              <w:t>/d）</w:t>
            </w:r>
          </w:p>
        </w:tc>
        <w:tc>
          <w:tcPr>
            <w:tcW w:w="1557"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w≥5000</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5000＞w≥1000</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1000＞w≥200</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w＜200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时变化系数K</w:t>
            </w:r>
            <w:r>
              <w:rPr>
                <w:rFonts w:hint="eastAsia" w:ascii="宋体" w:hAnsi="宋体" w:cs="宋体"/>
                <w:kern w:val="0"/>
                <w:sz w:val="23"/>
                <w:szCs w:val="23"/>
                <w:vertAlign w:val="subscript"/>
              </w:rPr>
              <w:t>h</w:t>
            </w:r>
          </w:p>
        </w:tc>
        <w:tc>
          <w:tcPr>
            <w:tcW w:w="1557"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1.6～2.0</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1.8～2.2</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2.0～2.5</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center"/>
              <w:rPr>
                <w:rFonts w:ascii="宋体" w:hAnsi="宋体" w:cs="宋体"/>
                <w:kern w:val="0"/>
                <w:sz w:val="23"/>
                <w:szCs w:val="23"/>
              </w:rPr>
            </w:pPr>
            <w:r>
              <w:rPr>
                <w:rFonts w:hint="eastAsia" w:ascii="宋体" w:hAnsi="宋体" w:cs="宋体"/>
                <w:kern w:val="0"/>
                <w:sz w:val="23"/>
                <w:szCs w:val="23"/>
              </w:rPr>
              <w:t>2.3～3.0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205" w:type="dxa"/>
            <w:gridSpan w:val="5"/>
            <w:tcBorders>
              <w:top w:val="single" w:color="auto" w:sz="4" w:space="0"/>
              <w:left w:val="single" w:color="auto" w:sz="4" w:space="0"/>
              <w:bottom w:val="single" w:color="auto" w:sz="4" w:space="0"/>
              <w:right w:val="single" w:color="auto" w:sz="4" w:space="0"/>
            </w:tcBorders>
            <w:noWrap w:val="0"/>
            <w:vAlign w:val="center"/>
          </w:tcPr>
          <w:p>
            <w:pPr>
              <w:widowControl/>
              <w:spacing w:before="20" w:after="40" w:line="360" w:lineRule="auto"/>
              <w:jc w:val="left"/>
              <w:rPr>
                <w:rFonts w:ascii="宋体" w:hAnsi="宋体" w:cs="宋体"/>
                <w:kern w:val="0"/>
                <w:sz w:val="23"/>
                <w:szCs w:val="23"/>
              </w:rPr>
            </w:pPr>
            <w:r>
              <w:rPr>
                <w:rFonts w:hint="eastAsia" w:ascii="宋体" w:hAnsi="宋体" w:cs="宋体"/>
                <w:kern w:val="0"/>
                <w:sz w:val="23"/>
                <w:szCs w:val="23"/>
              </w:rPr>
              <w:t>注：企业日用水时间长且用水量比例较高时，时变化系数可取较低值；企业用水量比例很低或无企业用水量时，时变化系数可在2.0～3.0范围内取值，用水</w:t>
            </w:r>
            <w:r>
              <w:rPr>
                <w:rFonts w:hint="eastAsia" w:ascii="宋体" w:hAnsi="宋体" w:cs="宋体"/>
                <w:color w:val="000000"/>
                <w:kern w:val="0"/>
                <w:sz w:val="23"/>
                <w:szCs w:val="23"/>
              </w:rPr>
              <w:t>人口</w:t>
            </w:r>
            <w:r>
              <w:rPr>
                <w:rFonts w:hint="eastAsia" w:ascii="宋体" w:hAnsi="宋体" w:cs="宋体"/>
                <w:kern w:val="0"/>
                <w:sz w:val="23"/>
                <w:szCs w:val="23"/>
              </w:rPr>
              <w:t>多、用水条件好或用水定额高的取较低值。</w:t>
            </w:r>
          </w:p>
        </w:tc>
      </w:tr>
    </w:tbl>
    <w:p>
      <w:pPr>
        <w:spacing w:line="360" w:lineRule="auto"/>
        <w:ind w:firstLine="480" w:firstLineChars="200"/>
        <w:rPr>
          <w:rFonts w:hint="eastAsia" w:ascii="宋体" w:hAnsi="宋体"/>
          <w:bCs/>
          <w:sz w:val="24"/>
          <w:szCs w:val="22"/>
          <w:lang w:val="en-US" w:eastAsia="zh-CN"/>
        </w:rPr>
      </w:pPr>
      <w:r>
        <w:rPr>
          <w:rFonts w:hint="eastAsia" w:ascii="宋体" w:hAnsi="宋体"/>
          <w:bCs/>
          <w:sz w:val="24"/>
          <w:szCs w:val="22"/>
          <w:lang w:val="en-US" w:eastAsia="zh-CN"/>
        </w:rPr>
        <w:t>（2）定时供水工程的时变化系数，可在3.0～4.0范围内取值，日供水时间长、用水人口多的取较低值。</w:t>
      </w:r>
    </w:p>
    <w:p>
      <w:pPr>
        <w:spacing w:line="360" w:lineRule="auto"/>
        <w:ind w:firstLine="480" w:firstLineChars="200"/>
        <w:rPr>
          <w:rFonts w:hint="eastAsia" w:ascii="宋体" w:hAnsi="宋体"/>
          <w:bCs/>
          <w:sz w:val="24"/>
          <w:szCs w:val="22"/>
          <w:lang w:val="en-US" w:eastAsia="zh-CN"/>
        </w:rPr>
      </w:pPr>
      <w:r>
        <w:rPr>
          <w:rFonts w:hint="eastAsia" w:ascii="宋体" w:hAnsi="宋体"/>
          <w:bCs/>
          <w:sz w:val="24"/>
          <w:szCs w:val="22"/>
          <w:lang w:val="en-US" w:eastAsia="zh-CN"/>
        </w:rPr>
        <w:t>2）、日变化系数，应根据供水规模、用水量组成、生活水平、气候条件，结合当地相似供水工程的年内供水变化情况综合分析确定，可在1.3～1.6范围内取值。</w:t>
      </w:r>
    </w:p>
    <w:p>
      <w:pPr>
        <w:numPr>
          <w:ilvl w:val="0"/>
          <w:numId w:val="0"/>
        </w:numPr>
        <w:spacing w:line="360" w:lineRule="auto"/>
        <w:ind w:leftChars="200"/>
        <w:rPr>
          <w:rFonts w:hint="eastAsia" w:ascii="宋体" w:hAnsi="宋体"/>
          <w:bCs/>
          <w:sz w:val="24"/>
          <w:szCs w:val="22"/>
          <w:lang w:val="en-US" w:eastAsia="zh-CN"/>
        </w:rPr>
      </w:pPr>
      <w:r>
        <w:rPr>
          <w:rFonts w:hint="eastAsia" w:ascii="宋体" w:hAnsi="宋体"/>
          <w:bCs/>
          <w:sz w:val="24"/>
          <w:szCs w:val="22"/>
          <w:lang w:val="en-US" w:eastAsia="zh-CN"/>
        </w:rPr>
        <w:t>3、日变化系数，时变化系数确定</w:t>
      </w:r>
    </w:p>
    <w:p>
      <w:pPr>
        <w:adjustRightInd w:val="0"/>
        <w:snapToGrid w:val="0"/>
        <w:spacing w:line="360" w:lineRule="auto"/>
        <w:ind w:firstLine="446" w:firstLineChars="186"/>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结合实际情况，城市自来水厂：日变化系数取1.3，时变化系数取1.4；农村自来水厂：日变化系数取1.4，时变化系数根据规模按上表取值。</w:t>
      </w:r>
    </w:p>
    <w:p>
      <w:pPr>
        <w:keepNext/>
        <w:keepLines/>
        <w:pageBreakBefore w:val="0"/>
        <w:widowControl w:val="0"/>
        <w:numPr>
          <w:ilvl w:val="3"/>
          <w:numId w:val="1"/>
        </w:numPr>
        <w:kinsoku/>
        <w:wordWrap/>
        <w:overflowPunct/>
        <w:topLinePunct w:val="0"/>
        <w:autoSpaceDE/>
        <w:autoSpaceDN/>
        <w:bidi w:val="0"/>
        <w:adjustRightInd/>
        <w:snapToGrid/>
        <w:spacing w:line="360" w:lineRule="auto"/>
        <w:ind w:left="1276" w:leftChars="0" w:firstLine="0" w:firstLineChars="0"/>
        <w:jc w:val="both"/>
        <w:textAlignment w:val="auto"/>
        <w:outlineLvl w:val="3"/>
        <w:rPr>
          <w:rFonts w:hint="default" w:ascii="宋体" w:hAnsi="宋体" w:eastAsia="宋体" w:cs="Times New Roman"/>
          <w:b/>
          <w:bCs/>
          <w:kern w:val="2"/>
          <w:sz w:val="24"/>
          <w:szCs w:val="24"/>
          <w:lang w:val="en-US" w:eastAsia="zh-CN" w:bidi="ar-SA"/>
        </w:rPr>
      </w:pPr>
      <w:r>
        <w:rPr>
          <w:rFonts w:hint="eastAsia" w:ascii="宋体" w:hAnsi="宋体" w:eastAsia="宋体" w:cs="宋体"/>
          <w:b/>
          <w:sz w:val="24"/>
          <w:szCs w:val="24"/>
          <w:lang w:val="en-US" w:eastAsia="zh-CN"/>
        </w:rPr>
        <w:t xml:space="preserve"> </w:t>
      </w:r>
      <w:r>
        <w:rPr>
          <w:rFonts w:hint="eastAsia" w:ascii="宋体" w:hAnsi="宋体" w:eastAsia="宋体" w:cs="Times New Roman"/>
          <w:b/>
          <w:bCs/>
          <w:kern w:val="2"/>
          <w:sz w:val="24"/>
          <w:szCs w:val="24"/>
          <w:lang w:val="en-US" w:eastAsia="zh-CN" w:bidi="ar-SA"/>
        </w:rPr>
        <w:t>需水总量分析</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自来水工程需水量包括</w:t>
      </w:r>
      <w:r>
        <w:rPr>
          <w:rFonts w:hint="eastAsia" w:ascii="Times New Roman" w:hAnsi="Times New Roman" w:eastAsia="宋体" w:cs="Times New Roman"/>
          <w:sz w:val="24"/>
          <w:szCs w:val="24"/>
          <w:highlight w:val="none"/>
        </w:rPr>
        <w:t>供水规模（即最高日供水量）</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综合生活用水量（</w:t>
      </w:r>
      <w:r>
        <w:rPr>
          <w:rFonts w:hint="eastAsia" w:ascii="Times New Roman" w:hAnsi="Times New Roman" w:eastAsia="宋体" w:cs="Times New Roman"/>
          <w:sz w:val="24"/>
          <w:szCs w:val="24"/>
          <w:highlight w:val="none"/>
        </w:rPr>
        <w:t>包括居民生活用水量、公共建筑用水量</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企业用水量、浇洒道路和绿地用水量、管网漏失水量</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其他未预见用水量</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消防用水量</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校核</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，应根据当地实际用水需求列项，按最高日用水量进行计算。</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各类用水计算公式如下：</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居民</w:t>
      </w:r>
      <w:r>
        <w:rPr>
          <w:rFonts w:hint="default" w:ascii="Times New Roman" w:hAnsi="Times New Roman" w:eastAsia="宋体" w:cs="Times New Roman"/>
          <w:sz w:val="24"/>
          <w:szCs w:val="24"/>
          <w:highlight w:val="none"/>
        </w:rPr>
        <w:t>生活需水量：按乡镇所在地、乡镇以下区域分别计算。综合生活需水量(m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 xml:space="preserve">)=居民用水人数（人）×相应用水定额（L/人·d）×365/1000。 </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2）工业企业需水量：本规划仅考虑纳入自来水工程供水范围的工业企业用水。工业企业需水量=自来水用水的工业增加值×相应的用水定额。</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3）其它需水量：由于其它需水量所占比重相对较小，本规划阶段对其它用水量采取简化计算，按居民生活用水量的 10%~30%估算，即乡镇所在地取20%、乡镇以下区域取10%。其计算方法为：其它需水量=乡镇所在地居民生活需水量×20%+乡镇以下区域居民生活需水量×10%。</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4）用户总需水量：为居民综合生活需水量、企业需水量、其它需水量3项之和。</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5）管网漏损水量：按用户总需水量的 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%计算。</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6）未预见水量：按用户总需水量与管网漏损水量之和的 </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%计算。</w:t>
      </w:r>
    </w:p>
    <w:p>
      <w:pPr>
        <w:adjustRightInd w:val="0"/>
        <w:snapToGrid w:val="0"/>
        <w:spacing w:line="360" w:lineRule="auto"/>
        <w:ind w:firstLine="446" w:firstLineChars="186"/>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）自来水工程</w:t>
      </w:r>
      <w:r>
        <w:rPr>
          <w:rFonts w:hint="eastAsia" w:ascii="Times New Roman" w:hAnsi="Times New Roman" w:eastAsia="宋体" w:cs="Times New Roman"/>
          <w:sz w:val="24"/>
          <w:szCs w:val="24"/>
          <w:highlight w:val="none"/>
          <w:lang w:val="en-US" w:eastAsia="zh-CN"/>
        </w:rPr>
        <w:t>设计需水量</w:t>
      </w:r>
      <w:r>
        <w:rPr>
          <w:rFonts w:hint="default" w:ascii="Times New Roman" w:hAnsi="Times New Roman" w:eastAsia="宋体" w:cs="Times New Roman"/>
          <w:sz w:val="24"/>
          <w:szCs w:val="24"/>
          <w:highlight w:val="none"/>
        </w:rPr>
        <w:t>：包括</w:t>
      </w:r>
      <w:r>
        <w:rPr>
          <w:rFonts w:hint="eastAsia" w:ascii="Times New Roman" w:hAnsi="Times New Roman" w:eastAsia="宋体" w:cs="Times New Roman"/>
          <w:sz w:val="24"/>
          <w:szCs w:val="24"/>
          <w:highlight w:val="none"/>
          <w:lang w:val="en-US" w:eastAsia="zh-CN"/>
        </w:rPr>
        <w:t>居民生活需水量、工业企业需水量</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其他需水量、</w:t>
      </w:r>
      <w:r>
        <w:rPr>
          <w:rFonts w:hint="default" w:ascii="Times New Roman" w:hAnsi="Times New Roman" w:eastAsia="宋体" w:cs="Times New Roman"/>
          <w:sz w:val="24"/>
          <w:szCs w:val="24"/>
          <w:highlight w:val="none"/>
        </w:rPr>
        <w:t>管网漏损水量和</w:t>
      </w:r>
      <w:r>
        <w:rPr>
          <w:rFonts w:hint="eastAsia" w:ascii="Times New Roman" w:hAnsi="Times New Roman" w:eastAsia="宋体" w:cs="Times New Roman"/>
          <w:sz w:val="24"/>
          <w:szCs w:val="24"/>
          <w:highlight w:val="none"/>
          <w:lang w:val="en-US" w:eastAsia="zh-CN"/>
        </w:rPr>
        <w:t>未预见水量</w:t>
      </w:r>
      <w:r>
        <w:rPr>
          <w:rFonts w:hint="default" w:ascii="Times New Roman" w:hAnsi="Times New Roman" w:eastAsia="宋体" w:cs="Times New Roman"/>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eastAsia="仿宋_GB2312"/>
          <w:color w:val="FF0000"/>
          <w:sz w:val="28"/>
          <w:szCs w:val="30"/>
          <w:u w:val="none"/>
          <w:lang w:val="en-US" w:eastAsia="zh-CN"/>
        </w:rPr>
      </w:pPr>
    </w:p>
    <w:p>
      <w:pPr>
        <w:pStyle w:val="2"/>
        <w:rPr>
          <w:rFonts w:hint="eastAsia"/>
          <w:lang w:val="en-US" w:eastAsia="zh-CN"/>
        </w:rPr>
        <w:sectPr>
          <w:pgSz w:w="11907" w:h="16840"/>
          <w:pgMar w:top="1440" w:right="1800" w:bottom="1440" w:left="1800" w:header="851" w:footer="992" w:gutter="0"/>
          <w:pgNumType w:fmt="decimal"/>
          <w:cols w:space="720" w:num="1"/>
          <w:docGrid w:linePitch="381" w:charSpace="0"/>
        </w:sectPr>
      </w:pP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规划水平年2025年水厂规模及需水量预测表</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26"/>
        <w:gridCol w:w="1656"/>
        <w:gridCol w:w="1164"/>
        <w:gridCol w:w="1052"/>
        <w:gridCol w:w="950"/>
        <w:gridCol w:w="1165"/>
        <w:gridCol w:w="1175"/>
        <w:gridCol w:w="940"/>
        <w:gridCol w:w="940"/>
        <w:gridCol w:w="1041"/>
        <w:gridCol w:w="1265"/>
        <w:gridCol w:w="1085"/>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52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序号</w:t>
            </w:r>
          </w:p>
        </w:tc>
        <w:tc>
          <w:tcPr>
            <w:tcW w:w="16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工程名称</w:t>
            </w:r>
          </w:p>
        </w:tc>
        <w:tc>
          <w:tcPr>
            <w:tcW w:w="9692"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规划水平年2025年需水预测</w:t>
            </w:r>
          </w:p>
        </w:tc>
        <w:tc>
          <w:tcPr>
            <w:tcW w:w="10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最终确定的水厂设计规模(m3/d)</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kern w:val="0"/>
                <w:sz w:val="24"/>
                <w:szCs w:val="24"/>
                <w:u w:val="none"/>
                <w:lang w:val="en-US" w:eastAsia="zh-CN" w:bidi="ar-SA"/>
              </w:rPr>
            </w:pPr>
            <w:r>
              <w:rPr>
                <w:rFonts w:hint="eastAsia" w:ascii="宋体" w:hAnsi="宋体" w:eastAsia="宋体" w:cs="宋体"/>
                <w:i w:val="0"/>
                <w:color w:val="000000"/>
                <w:kern w:val="0"/>
                <w:sz w:val="24"/>
                <w:szCs w:val="24"/>
                <w:u w:val="none"/>
                <w:lang w:val="en-US" w:eastAsia="zh-CN" w:bidi="ar-SA"/>
              </w:rPr>
              <w:t>自来水工程年总需水量</w:t>
            </w:r>
          </w:p>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(万m3)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5" w:hRule="atLeast"/>
        </w:trPr>
        <w:tc>
          <w:tcPr>
            <w:tcW w:w="52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65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4331"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居民生活年用水量(m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/d)</w:t>
            </w:r>
          </w:p>
        </w:tc>
        <w:tc>
          <w:tcPr>
            <w:tcW w:w="11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工业企业用水量(m3/d)</w:t>
            </w:r>
          </w:p>
        </w:tc>
        <w:tc>
          <w:tcPr>
            <w:tcW w:w="9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其它需水量(m3/d)</w:t>
            </w:r>
          </w:p>
        </w:tc>
        <w:tc>
          <w:tcPr>
            <w:tcW w:w="9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管网漏损水量(m3/d)</w:t>
            </w:r>
          </w:p>
        </w:tc>
        <w:tc>
          <w:tcPr>
            <w:tcW w:w="104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未预见水量(m3/d)</w:t>
            </w:r>
          </w:p>
        </w:tc>
        <w:tc>
          <w:tcPr>
            <w:tcW w:w="12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kern w:val="0"/>
                <w:sz w:val="24"/>
                <w:szCs w:val="24"/>
                <w:u w:val="none"/>
                <w:lang w:val="en-US" w:eastAsia="zh-CN" w:bidi="ar-SA"/>
              </w:rPr>
            </w:pPr>
            <w:r>
              <w:rPr>
                <w:rFonts w:hint="eastAsia" w:ascii="宋体" w:hAnsi="宋体" w:eastAsia="宋体" w:cs="宋体"/>
                <w:i w:val="0"/>
                <w:color w:val="000000"/>
                <w:kern w:val="0"/>
                <w:sz w:val="24"/>
                <w:szCs w:val="24"/>
                <w:u w:val="none"/>
                <w:lang w:val="en-US" w:eastAsia="zh-CN" w:bidi="ar-SA"/>
              </w:rPr>
              <w:t>水厂设计用水量</w:t>
            </w:r>
          </w:p>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(m3/d)</w:t>
            </w:r>
          </w:p>
        </w:tc>
        <w:tc>
          <w:tcPr>
            <w:tcW w:w="108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trPr>
        <w:tc>
          <w:tcPr>
            <w:tcW w:w="52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65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小计</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城区</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乡镇所在地</w:t>
            </w:r>
          </w:p>
        </w:tc>
        <w:tc>
          <w:tcPr>
            <w:tcW w:w="11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乡镇以下</w:t>
            </w:r>
          </w:p>
        </w:tc>
        <w:tc>
          <w:tcPr>
            <w:tcW w:w="117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4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4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41"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2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8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5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16</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17</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18</w:t>
            </w:r>
          </w:p>
        </w:tc>
        <w:tc>
          <w:tcPr>
            <w:tcW w:w="11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19</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20</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21</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23</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24</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25</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26</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雁家湖水厂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10953.78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7663.48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2275.25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1015.06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22074.90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2855.60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4306.11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4019.04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44209.44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50000.00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1403.85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林泉水厂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2045.62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960.83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1084.80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511.48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300.65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342.93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320.07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3520.75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5000.00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130.36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3</w:t>
            </w:r>
          </w:p>
        </w:tc>
        <w:tc>
          <w:tcPr>
            <w:tcW w:w="1656"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红桥水厂</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1905.10 </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938.69 </w:t>
            </w:r>
          </w:p>
        </w:tc>
        <w:tc>
          <w:tcPr>
            <w:tcW w:w="11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966.41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69.70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284.38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271.10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253.03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2783.30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2900.00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75.61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4</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磨溪水厂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954.75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49.53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905.21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67.89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100.43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134.77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125.78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1383.62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39.11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5</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车桥水厂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920.05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101.11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818.94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57.78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102.12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129.59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120.95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1330.50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1600.00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41.71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6</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邹桥水厂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1295.34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37.30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1258.05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390.00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133.26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218.23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203.68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2240.53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5000.00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130.36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7</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塘山水厂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529.38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15.73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513.65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9.86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54.51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71.25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66.50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731.51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26.07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8</w:t>
            </w:r>
          </w:p>
        </w:tc>
        <w:tc>
          <w:tcPr>
            <w:tcW w:w="1656"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彭山水厂</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2068.88 </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700.00 </w:t>
            </w:r>
          </w:p>
        </w:tc>
        <w:tc>
          <w:tcPr>
            <w:tcW w:w="1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1368.88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9277.15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276.89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1394.75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1301.77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14319.44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20000.00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521.43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2182"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全县合计</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20672.91 </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7663.48 </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5078.44 </w:t>
            </w:r>
          </w:p>
        </w:tc>
        <w:tc>
          <w:tcPr>
            <w:tcW w:w="11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7931.00 </w:t>
            </w:r>
          </w:p>
        </w:tc>
        <w:tc>
          <w:tcPr>
            <w:tcW w:w="1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32458.77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4107.83 </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6868.74 </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6410.83 </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70519.08 </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87000.00 </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righ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 xml:space="preserve">2368.49 </w:t>
            </w:r>
          </w:p>
        </w:tc>
      </w:tr>
    </w:tbl>
    <w:p>
      <w:pPr>
        <w:pStyle w:val="2"/>
        <w:ind w:left="0" w:leftChars="0" w:firstLine="0" w:firstLineChars="0"/>
        <w:rPr>
          <w:rFonts w:hint="eastAsia"/>
          <w:lang w:val="en-US" w:eastAsia="zh-CN"/>
        </w:rPr>
        <w:sectPr>
          <w:pgSz w:w="16840" w:h="11907" w:orient="landscape"/>
          <w:pgMar w:top="1440" w:right="1800" w:bottom="1440" w:left="1800" w:header="851" w:footer="992" w:gutter="0"/>
          <w:pgNumType w:fmt="decimal"/>
          <w:cols w:space="720" w:num="1"/>
          <w:docGrid w:linePitch="381" w:charSpace="0"/>
        </w:sectPr>
      </w:pP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textAlignment w:val="auto"/>
        <w:rPr>
          <w:rFonts w:hint="eastAsia"/>
          <w:sz w:val="24"/>
          <w:szCs w:val="24"/>
          <w:lang w:val="en-US" w:eastAsia="zh-CN"/>
        </w:rPr>
      </w:pPr>
      <w:r>
        <w:rPr>
          <w:rFonts w:hint="eastAsia"/>
          <w:sz w:val="24"/>
          <w:szCs w:val="24"/>
          <w:lang w:val="en-US" w:eastAsia="zh-CN"/>
        </w:rPr>
        <w:t>供水工程水源可供水量分析</w:t>
      </w:r>
    </w:p>
    <w:p>
      <w:pPr>
        <w:keepNext/>
        <w:keepLines/>
        <w:pageBreakBefore w:val="0"/>
        <w:widowControl w:val="0"/>
        <w:numPr>
          <w:ilvl w:val="3"/>
          <w:numId w:val="1"/>
        </w:numPr>
        <w:kinsoku/>
        <w:wordWrap/>
        <w:overflowPunct/>
        <w:topLinePunct w:val="0"/>
        <w:autoSpaceDE/>
        <w:autoSpaceDN/>
        <w:bidi w:val="0"/>
        <w:adjustRightInd/>
        <w:snapToGrid/>
        <w:spacing w:line="360" w:lineRule="auto"/>
        <w:ind w:left="1276" w:leftChars="0" w:firstLine="0" w:firstLineChars="0"/>
        <w:jc w:val="both"/>
        <w:textAlignment w:val="auto"/>
        <w:outlineLvl w:val="3"/>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备选水源选择依据</w:t>
      </w:r>
    </w:p>
    <w:p>
      <w:pPr>
        <w:spacing w:line="360" w:lineRule="auto"/>
        <w:ind w:firstLine="480" w:firstLineChars="200"/>
        <w:rPr>
          <w:rFonts w:ascii="宋体" w:hAnsi="宋体"/>
          <w:bCs/>
          <w:sz w:val="24"/>
        </w:rPr>
      </w:pPr>
      <w:r>
        <w:rPr>
          <w:rFonts w:hint="eastAsia" w:ascii="宋体" w:hAnsi="宋体"/>
          <w:bCs/>
          <w:sz w:val="24"/>
        </w:rPr>
        <w:t>本项目区</w:t>
      </w:r>
      <w:r>
        <w:rPr>
          <w:rFonts w:ascii="宋体" w:hAnsi="宋体"/>
          <w:bCs/>
          <w:sz w:val="24"/>
        </w:rPr>
        <w:t>水源的主要分类有：水库及塘坝、河流等。</w:t>
      </w:r>
    </w:p>
    <w:p>
      <w:pPr>
        <w:spacing w:line="360" w:lineRule="auto"/>
        <w:ind w:firstLine="480" w:firstLineChars="200"/>
        <w:rPr>
          <w:rFonts w:ascii="宋体" w:hAnsi="宋体"/>
          <w:bCs/>
          <w:sz w:val="24"/>
        </w:rPr>
      </w:pPr>
      <w:r>
        <w:rPr>
          <w:rFonts w:ascii="宋体" w:hAnsi="宋体"/>
          <w:bCs/>
          <w:sz w:val="24"/>
        </w:rPr>
        <w:t>根据规划工程分区，首先，将本区域内或区域外附近所有适宜饮用水的水源作一番梳理，按规模大小和水质优劣进行排序。一个供水工程初步选取2~4个具有一定规模的备选水源。备选水源的基本条件是：</w:t>
      </w:r>
    </w:p>
    <w:p>
      <w:pPr>
        <w:spacing w:line="360" w:lineRule="auto"/>
        <w:ind w:firstLine="480" w:firstLineChars="200"/>
        <w:rPr>
          <w:rFonts w:ascii="宋体" w:hAnsi="宋体"/>
          <w:bCs/>
          <w:sz w:val="24"/>
        </w:rPr>
      </w:pPr>
      <w:r>
        <w:rPr>
          <w:rFonts w:ascii="宋体" w:hAnsi="宋体"/>
          <w:bCs/>
          <w:sz w:val="24"/>
        </w:rPr>
        <w:t>①水质良好为首选条件；</w:t>
      </w:r>
    </w:p>
    <w:p>
      <w:pPr>
        <w:spacing w:line="360" w:lineRule="auto"/>
        <w:ind w:firstLine="480" w:firstLineChars="200"/>
        <w:rPr>
          <w:rFonts w:ascii="宋体" w:hAnsi="宋体"/>
          <w:bCs/>
          <w:sz w:val="24"/>
        </w:rPr>
      </w:pPr>
      <w:r>
        <w:rPr>
          <w:rFonts w:ascii="宋体" w:hAnsi="宋体"/>
          <w:bCs/>
          <w:sz w:val="24"/>
        </w:rPr>
        <w:t>②规模（即来水量）较大、输水条件较好为优选条件；</w:t>
      </w:r>
    </w:p>
    <w:p>
      <w:pPr>
        <w:spacing w:line="360" w:lineRule="auto"/>
        <w:ind w:firstLine="480" w:firstLineChars="200"/>
        <w:rPr>
          <w:rFonts w:ascii="宋体" w:hAnsi="宋体"/>
          <w:bCs/>
          <w:sz w:val="24"/>
        </w:rPr>
      </w:pPr>
      <w:r>
        <w:rPr>
          <w:rFonts w:ascii="宋体" w:hAnsi="宋体"/>
          <w:bCs/>
          <w:sz w:val="24"/>
        </w:rPr>
        <w:t>③在上述条件相当时，以蓄水工程为重点；</w:t>
      </w:r>
    </w:p>
    <w:p>
      <w:pPr>
        <w:spacing w:line="360" w:lineRule="auto"/>
        <w:ind w:firstLine="480" w:firstLineChars="200"/>
        <w:rPr>
          <w:rFonts w:ascii="宋体" w:hAnsi="宋体"/>
          <w:bCs/>
          <w:sz w:val="24"/>
        </w:rPr>
      </w:pPr>
      <w:r>
        <w:rPr>
          <w:rFonts w:ascii="宋体" w:hAnsi="宋体"/>
          <w:bCs/>
          <w:sz w:val="24"/>
        </w:rPr>
        <w:t>④备选水源，应尽量避开与现有用水户争抢用水源；</w:t>
      </w:r>
    </w:p>
    <w:p>
      <w:pPr>
        <w:spacing w:line="360" w:lineRule="auto"/>
        <w:ind w:firstLine="480" w:firstLineChars="200"/>
        <w:rPr>
          <w:rFonts w:ascii="宋体" w:hAnsi="宋体"/>
          <w:bCs/>
          <w:sz w:val="24"/>
        </w:rPr>
      </w:pPr>
      <w:r>
        <w:rPr>
          <w:rFonts w:ascii="宋体" w:hAnsi="宋体"/>
          <w:bCs/>
          <w:sz w:val="24"/>
        </w:rPr>
        <w:t>⑤本阶段可规划应急用备用水源，但不将其纳入本次水量平衡中。</w:t>
      </w:r>
    </w:p>
    <w:p>
      <w:pPr>
        <w:spacing w:line="360" w:lineRule="auto"/>
        <w:ind w:firstLine="480" w:firstLineChars="200"/>
        <w:rPr>
          <w:rFonts w:hint="eastAsia" w:ascii="宋体" w:hAnsi="宋体"/>
          <w:bCs/>
          <w:sz w:val="24"/>
        </w:rPr>
      </w:pPr>
      <w:r>
        <w:rPr>
          <w:rFonts w:hint="eastAsia" w:ascii="宋体" w:hAnsi="宋体"/>
          <w:bCs/>
          <w:sz w:val="24"/>
        </w:rPr>
        <w:t>4.2.2.1 供水量分析的方法</w:t>
      </w:r>
    </w:p>
    <w:p>
      <w:pPr>
        <w:spacing w:line="360" w:lineRule="auto"/>
        <w:ind w:firstLine="480" w:firstLineChars="200"/>
        <w:rPr>
          <w:rFonts w:hint="eastAsia" w:ascii="宋体" w:hAnsi="宋体"/>
          <w:bCs/>
          <w:sz w:val="24"/>
        </w:rPr>
      </w:pPr>
      <w:r>
        <w:rPr>
          <w:rFonts w:hint="eastAsia" w:ascii="宋体" w:hAnsi="宋体"/>
          <w:bCs/>
          <w:sz w:val="24"/>
        </w:rPr>
        <w:t>除大江大河外，其余供水水源可供水量分析计算，按不同水源类型采用不同的分析方法。根据有关规范的要求，供水保证率为P=95%，依此分析不同水源设计来水量。</w:t>
      </w:r>
    </w:p>
    <w:p>
      <w:pPr>
        <w:spacing w:line="360" w:lineRule="auto"/>
        <w:ind w:firstLine="480" w:firstLineChars="200"/>
        <w:rPr>
          <w:rFonts w:hint="eastAsia" w:ascii="宋体" w:hAnsi="宋体"/>
          <w:bCs/>
          <w:sz w:val="24"/>
        </w:rPr>
      </w:pPr>
      <w:r>
        <w:rPr>
          <w:rFonts w:hint="eastAsia" w:ascii="宋体" w:hAnsi="宋体"/>
          <w:bCs/>
          <w:sz w:val="24"/>
        </w:rPr>
        <w:t>（1）河流可供水量分析</w:t>
      </w:r>
    </w:p>
    <w:p>
      <w:pPr>
        <w:spacing w:line="360" w:lineRule="auto"/>
        <w:ind w:firstLine="480" w:firstLineChars="200"/>
        <w:rPr>
          <w:rFonts w:hint="eastAsia" w:ascii="宋体" w:hAnsi="宋体"/>
          <w:bCs/>
          <w:sz w:val="24"/>
        </w:rPr>
      </w:pPr>
      <w:r>
        <w:rPr>
          <w:rFonts w:hint="eastAsia" w:ascii="宋体" w:hAnsi="宋体"/>
          <w:bCs/>
          <w:sz w:val="24"/>
        </w:rPr>
        <w:t>本次规划范围较大，没有搜集到适宜的水文调查资料，本次规划按照项目组提供的《河流天然来水量可供水量分析计算软件》进行分析。德安属于赣江中游低山丘陵地区，属于分区－1范围内，径流中等偏低。按照当地水利部门提供的各取水点集雨面积，按照&lt;500km</w:t>
      </w:r>
      <w:r>
        <w:rPr>
          <w:rFonts w:hint="eastAsia" w:ascii="宋体" w:hAnsi="宋体"/>
          <w:bCs/>
          <w:sz w:val="24"/>
          <w:vertAlign w:val="superscript"/>
        </w:rPr>
        <w:t>2</w:t>
      </w:r>
      <w:r>
        <w:rPr>
          <w:rFonts w:hint="eastAsia" w:ascii="宋体" w:hAnsi="宋体"/>
          <w:bCs/>
          <w:sz w:val="24"/>
        </w:rPr>
        <w:t>、500－2000km</w:t>
      </w:r>
      <w:r>
        <w:rPr>
          <w:rFonts w:hint="eastAsia" w:ascii="宋体" w:hAnsi="宋体"/>
          <w:bCs/>
          <w:sz w:val="24"/>
          <w:vertAlign w:val="superscript"/>
        </w:rPr>
        <w:t>2</w:t>
      </w:r>
      <w:r>
        <w:rPr>
          <w:rFonts w:hint="eastAsia" w:ascii="宋体" w:hAnsi="宋体"/>
          <w:bCs/>
          <w:sz w:val="24"/>
        </w:rPr>
        <w:t>、&gt;2000km</w:t>
      </w:r>
      <w:r>
        <w:rPr>
          <w:rFonts w:hint="eastAsia" w:ascii="宋体" w:hAnsi="宋体"/>
          <w:bCs/>
          <w:sz w:val="24"/>
          <w:vertAlign w:val="superscript"/>
        </w:rPr>
        <w:t>3</w:t>
      </w:r>
      <w:r>
        <w:rPr>
          <w:rFonts w:hint="eastAsia" w:ascii="宋体" w:hAnsi="宋体"/>
          <w:bCs/>
          <w:sz w:val="24"/>
        </w:rPr>
        <w:t>三种情况对各供水水源可供水量进行分析。</w:t>
      </w:r>
    </w:p>
    <w:p>
      <w:pPr>
        <w:spacing w:line="360" w:lineRule="auto"/>
        <w:ind w:firstLine="480" w:firstLineChars="200"/>
        <w:rPr>
          <w:rFonts w:hint="eastAsia" w:ascii="宋体" w:hAnsi="宋体"/>
          <w:bCs/>
          <w:sz w:val="24"/>
        </w:rPr>
      </w:pPr>
      <w:r>
        <w:rPr>
          <w:rFonts w:hint="eastAsia" w:ascii="宋体" w:hAnsi="宋体"/>
          <w:bCs/>
          <w:sz w:val="24"/>
        </w:rPr>
        <w:t>（2）水库等蓄水工程可供水量分析</w:t>
      </w:r>
    </w:p>
    <w:p>
      <w:pPr>
        <w:spacing w:line="360" w:lineRule="auto"/>
        <w:ind w:firstLine="480" w:firstLineChars="200"/>
        <w:rPr>
          <w:rFonts w:hint="eastAsia" w:ascii="宋体" w:hAnsi="宋体"/>
          <w:bCs/>
          <w:sz w:val="24"/>
        </w:rPr>
      </w:pPr>
      <w:r>
        <w:rPr>
          <w:rFonts w:hint="eastAsia" w:ascii="宋体" w:hAnsi="宋体"/>
          <w:bCs/>
          <w:sz w:val="24"/>
        </w:rPr>
        <w:t>按下式进行计算：</w:t>
      </w:r>
    </w:p>
    <w:p>
      <w:pPr>
        <w:spacing w:line="360" w:lineRule="auto"/>
        <w:ind w:firstLine="480" w:firstLineChars="200"/>
        <w:rPr>
          <w:rFonts w:hint="eastAsia" w:ascii="宋体" w:hAnsi="宋体"/>
          <w:sz w:val="24"/>
        </w:rPr>
      </w:pPr>
      <w:r>
        <w:rPr>
          <w:rFonts w:hint="eastAsia" w:ascii="宋体" w:hAnsi="宋体"/>
          <w:sz w:val="24"/>
        </w:rPr>
        <w:t>W</w:t>
      </w:r>
      <w:r>
        <w:rPr>
          <w:rFonts w:hint="eastAsia" w:ascii="宋体" w:hAnsi="宋体"/>
          <w:sz w:val="24"/>
          <w:vertAlign w:val="subscript"/>
        </w:rPr>
        <w:t>年</w:t>
      </w:r>
      <w:r>
        <w:rPr>
          <w:rFonts w:hint="eastAsia" w:ascii="宋体" w:hAnsi="宋体"/>
          <w:sz w:val="24"/>
        </w:rPr>
        <w:t xml:space="preserve"> =γ×V</w:t>
      </w:r>
    </w:p>
    <w:p>
      <w:pPr>
        <w:spacing w:line="360" w:lineRule="auto"/>
        <w:ind w:firstLine="480" w:firstLineChars="200"/>
        <w:rPr>
          <w:rFonts w:hint="eastAsia" w:ascii="宋体" w:hAnsi="宋体"/>
          <w:bCs/>
          <w:sz w:val="24"/>
        </w:rPr>
      </w:pPr>
      <w:r>
        <w:rPr>
          <w:rFonts w:hint="eastAsia" w:ascii="宋体" w:hAnsi="宋体"/>
          <w:bCs/>
          <w:sz w:val="24"/>
        </w:rPr>
        <w:t>W</w:t>
      </w:r>
      <w:r>
        <w:rPr>
          <w:rFonts w:hint="eastAsia" w:ascii="宋体" w:hAnsi="宋体"/>
          <w:bCs/>
          <w:sz w:val="24"/>
          <w:vertAlign w:val="subscript"/>
        </w:rPr>
        <w:t>年</w:t>
      </w:r>
      <w:r>
        <w:rPr>
          <w:rFonts w:hint="eastAsia" w:ascii="宋体" w:hAnsi="宋体"/>
          <w:bCs/>
          <w:sz w:val="24"/>
        </w:rPr>
        <w:t>—工程年可供水量，万m</w:t>
      </w:r>
      <w:r>
        <w:rPr>
          <w:rFonts w:hint="eastAsia" w:ascii="宋体" w:hAnsi="宋体"/>
          <w:bCs/>
          <w:sz w:val="24"/>
          <w:vertAlign w:val="superscript"/>
        </w:rPr>
        <w:t>3</w:t>
      </w:r>
      <w:r>
        <w:rPr>
          <w:rFonts w:hint="eastAsia" w:ascii="宋体" w:hAnsi="宋体"/>
          <w:bCs/>
          <w:sz w:val="24"/>
        </w:rPr>
        <w:t>；</w:t>
      </w:r>
    </w:p>
    <w:p>
      <w:pPr>
        <w:spacing w:line="360" w:lineRule="auto"/>
        <w:ind w:firstLine="480" w:firstLineChars="200"/>
        <w:rPr>
          <w:rFonts w:hint="eastAsia" w:ascii="宋体" w:hAnsi="宋体"/>
          <w:bCs/>
          <w:sz w:val="24"/>
        </w:rPr>
      </w:pPr>
      <w:r>
        <w:rPr>
          <w:rFonts w:hint="eastAsia" w:ascii="宋体" w:hAnsi="宋体"/>
          <w:bCs/>
          <w:sz w:val="24"/>
        </w:rPr>
        <w:t>V —有效库容，万m</w:t>
      </w:r>
      <w:r>
        <w:rPr>
          <w:rFonts w:hint="eastAsia" w:ascii="宋体" w:hAnsi="宋体"/>
          <w:bCs/>
          <w:sz w:val="24"/>
          <w:vertAlign w:val="superscript"/>
        </w:rPr>
        <w:t>3</w:t>
      </w:r>
      <w:r>
        <w:rPr>
          <w:rFonts w:hint="eastAsia" w:ascii="宋体" w:hAnsi="宋体"/>
          <w:bCs/>
          <w:sz w:val="24"/>
        </w:rPr>
        <w:t>；</w:t>
      </w:r>
    </w:p>
    <w:p>
      <w:pPr>
        <w:spacing w:line="360" w:lineRule="auto"/>
        <w:ind w:firstLine="480" w:firstLineChars="200"/>
        <w:rPr>
          <w:rFonts w:hint="eastAsia" w:ascii="宋体" w:hAnsi="宋体"/>
          <w:bCs/>
          <w:sz w:val="24"/>
        </w:rPr>
      </w:pPr>
      <w:r>
        <w:rPr>
          <w:rFonts w:hint="eastAsia" w:ascii="宋体" w:hAnsi="宋体"/>
          <w:bCs/>
          <w:sz w:val="24"/>
        </w:rPr>
        <w:t>γ—复蓄系数，取值范围为：塘坝1.3~2.0、小型水库1.3~1.8、中型水库1.1~1.5、大型水库1.0~1.2。γ具体按以下方法取值：水库集雨面积为A(km</w:t>
      </w:r>
      <w:r>
        <w:rPr>
          <w:rFonts w:hint="eastAsia" w:ascii="宋体" w:hAnsi="宋体"/>
          <w:bCs/>
          <w:sz w:val="24"/>
          <w:vertAlign w:val="superscript"/>
        </w:rPr>
        <w:t>2</w:t>
      </w:r>
      <w:r>
        <w:rPr>
          <w:rFonts w:hint="eastAsia" w:ascii="宋体" w:hAnsi="宋体"/>
          <w:bCs/>
          <w:sz w:val="24"/>
        </w:rPr>
        <w:t>)，β=40A/V；当β小于γ取值范围下限时，γ取下限；当β大于γ取值范围上限时，则γ取上限；当β在γ取值范围内时，则取γ=β。</w:t>
      </w:r>
    </w:p>
    <w:p>
      <w:pPr>
        <w:spacing w:line="360" w:lineRule="auto"/>
        <w:ind w:firstLine="480" w:firstLineChars="200"/>
        <w:rPr>
          <w:rFonts w:hint="eastAsia" w:ascii="宋体" w:hAnsi="宋体"/>
          <w:bCs/>
          <w:sz w:val="24"/>
        </w:rPr>
      </w:pPr>
      <w:r>
        <w:rPr>
          <w:rFonts w:hint="eastAsia" w:ascii="宋体" w:hAnsi="宋体"/>
          <w:bCs/>
          <w:sz w:val="24"/>
        </w:rPr>
        <w:t>（3）地下水可供水量分析</w:t>
      </w:r>
    </w:p>
    <w:p>
      <w:pPr>
        <w:spacing w:line="360" w:lineRule="auto"/>
        <w:ind w:firstLine="480" w:firstLineChars="200"/>
        <w:rPr>
          <w:rFonts w:hint="eastAsia" w:ascii="宋体" w:hAnsi="宋体"/>
          <w:sz w:val="24"/>
        </w:rPr>
      </w:pPr>
      <w:r>
        <w:rPr>
          <w:rFonts w:hint="eastAsia" w:ascii="宋体" w:hAnsi="宋体"/>
          <w:sz w:val="24"/>
        </w:rPr>
        <w:t>地下水（井水）可供水量：按水井出水量（参照附近已建水井工程的抽水试验成果）、抽水工程供水能力、需水量三者中最小者确定地下水可供水量。</w:t>
      </w:r>
    </w:p>
    <w:p>
      <w:pPr>
        <w:keepNext/>
        <w:keepLines/>
        <w:pageBreakBefore w:val="0"/>
        <w:widowControl w:val="0"/>
        <w:numPr>
          <w:ilvl w:val="3"/>
          <w:numId w:val="1"/>
        </w:numPr>
        <w:kinsoku/>
        <w:wordWrap/>
        <w:overflowPunct/>
        <w:topLinePunct w:val="0"/>
        <w:autoSpaceDE/>
        <w:autoSpaceDN/>
        <w:bidi w:val="0"/>
        <w:adjustRightInd/>
        <w:snapToGrid/>
        <w:spacing w:line="360" w:lineRule="auto"/>
        <w:ind w:left="1276" w:leftChars="0" w:firstLine="0" w:firstLineChars="0"/>
        <w:jc w:val="both"/>
        <w:textAlignment w:val="auto"/>
        <w:outlineLvl w:val="3"/>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供水预测结果</w:t>
      </w:r>
    </w:p>
    <w:p>
      <w:pPr>
        <w:numPr>
          <w:ilvl w:val="0"/>
          <w:numId w:val="7"/>
        </w:numPr>
        <w:spacing w:line="360" w:lineRule="auto"/>
        <w:ind w:firstLine="480" w:firstLineChars="200"/>
        <w:rPr>
          <w:rFonts w:hint="default"/>
          <w:lang w:val="en-US" w:eastAsia="zh-CN"/>
        </w:rPr>
      </w:pPr>
      <w:r>
        <w:rPr>
          <w:rFonts w:hint="eastAsia" w:ascii="宋体" w:hAnsi="宋体"/>
          <w:bCs/>
          <w:sz w:val="24"/>
          <w:lang w:val="en-US" w:eastAsia="zh-CN"/>
        </w:rPr>
        <w:t>雁家湖水厂及彭山水厂</w:t>
      </w:r>
    </w:p>
    <w:p>
      <w:pPr>
        <w:spacing w:line="360" w:lineRule="auto"/>
        <w:ind w:firstLine="480" w:firstLineChars="200"/>
        <w:rPr>
          <w:rFonts w:hint="default"/>
          <w:color w:val="000000"/>
          <w:sz w:val="24"/>
          <w:lang w:val="en-US" w:eastAsia="zh-CN"/>
        </w:rPr>
      </w:pPr>
      <w:r>
        <w:rPr>
          <w:rFonts w:hint="eastAsia"/>
          <w:color w:val="000000"/>
          <w:sz w:val="24"/>
          <w:lang w:val="en-US" w:eastAsia="zh-CN"/>
        </w:rPr>
        <w:t>雁家湖水厂及彭山水厂共用原水管线工程，取水自博阳河，位于柳田夏家，</w:t>
      </w:r>
      <w:r>
        <w:rPr>
          <w:rFonts w:hint="eastAsia" w:ascii="宋体" w:hAnsi="宋体" w:eastAsia="宋体" w:cs="宋体"/>
          <w:color w:val="000000"/>
          <w:kern w:val="0"/>
          <w:sz w:val="24"/>
          <w:szCs w:val="24"/>
          <w:lang w:eastAsia="zh-CN"/>
        </w:rPr>
        <w:t>建于2016年，距离雁家湖水厂约21.62Km，总取水规模为</w:t>
      </w: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lang w:eastAsia="zh-CN"/>
        </w:rPr>
        <w:t>.0万m³/d，其中雁家湖水厂部分取水规模为</w:t>
      </w:r>
      <w:r>
        <w:rPr>
          <w:rFonts w:hint="eastAsia" w:ascii="宋体" w:hAnsi="宋体" w:eastAsia="宋体" w:cs="宋体"/>
          <w:color w:val="000000"/>
          <w:kern w:val="0"/>
          <w:sz w:val="24"/>
          <w:szCs w:val="24"/>
          <w:lang w:val="en-US" w:eastAsia="zh-CN"/>
        </w:rPr>
        <w:t>5.0万m³/d</w:t>
      </w:r>
      <w:r>
        <w:rPr>
          <w:rFonts w:hint="eastAsia" w:ascii="宋体" w:hAnsi="宋体" w:eastAsia="宋体" w:cs="宋体"/>
          <w:color w:val="000000"/>
          <w:kern w:val="0"/>
          <w:sz w:val="24"/>
          <w:szCs w:val="24"/>
          <w:lang w:eastAsia="zh-CN"/>
        </w:rPr>
        <w:t>。</w:t>
      </w:r>
    </w:p>
    <w:p>
      <w:pPr>
        <w:spacing w:after="120" w:afterLines="50" w:line="600" w:lineRule="exact"/>
        <w:ind w:firstLine="235" w:firstLineChars="98"/>
        <w:jc w:val="center"/>
        <w:rPr>
          <w:rFonts w:hint="eastAsia" w:ascii="宋体" w:hAnsi="宋体"/>
          <w:b w:val="0"/>
          <w:bCs/>
          <w:sz w:val="24"/>
          <w:szCs w:val="24"/>
        </w:rPr>
      </w:pPr>
      <w:r>
        <w:rPr>
          <w:rFonts w:hint="eastAsia" w:ascii="宋体" w:hAnsi="宋体"/>
          <w:b w:val="0"/>
          <w:bCs/>
          <w:sz w:val="24"/>
          <w:szCs w:val="24"/>
        </w:rPr>
        <w:t>取水口(95%)典型年供需水量平衡表     单位：万</w:t>
      </w:r>
      <w:r>
        <w:rPr>
          <w:rFonts w:ascii="宋体" w:hAnsi="宋体"/>
          <w:b w:val="0"/>
          <w:bCs/>
          <w:sz w:val="24"/>
          <w:szCs w:val="24"/>
        </w:rPr>
        <w:t>m</w:t>
      </w:r>
      <w:r>
        <w:rPr>
          <w:rFonts w:ascii="宋体" w:hAnsi="宋体"/>
          <w:b w:val="0"/>
          <w:bCs/>
          <w:sz w:val="24"/>
          <w:szCs w:val="24"/>
          <w:vertAlign w:val="superscript"/>
        </w:rPr>
        <w:t>3</w:t>
      </w:r>
    </w:p>
    <w:tbl>
      <w:tblPr>
        <w:tblStyle w:val="32"/>
        <w:tblW w:w="0" w:type="auto"/>
        <w:jc w:val="center"/>
        <w:tblLayout w:type="fixed"/>
        <w:tblCellMar>
          <w:top w:w="0" w:type="dxa"/>
          <w:left w:w="108" w:type="dxa"/>
          <w:bottom w:w="0" w:type="dxa"/>
          <w:right w:w="108" w:type="dxa"/>
        </w:tblCellMar>
      </w:tblPr>
      <w:tblGrid>
        <w:gridCol w:w="1106"/>
        <w:gridCol w:w="1107"/>
        <w:gridCol w:w="1107"/>
        <w:gridCol w:w="1336"/>
        <w:gridCol w:w="1336"/>
        <w:gridCol w:w="1336"/>
        <w:gridCol w:w="1192"/>
      </w:tblGrid>
      <w:tr>
        <w:tblPrEx>
          <w:tblCellMar>
            <w:top w:w="0" w:type="dxa"/>
            <w:left w:w="108" w:type="dxa"/>
            <w:bottom w:w="0" w:type="dxa"/>
            <w:right w:w="108" w:type="dxa"/>
          </w:tblCellMar>
        </w:tblPrEx>
        <w:trPr>
          <w:trHeight w:val="327" w:hRule="atLeast"/>
          <w:jc w:val="center"/>
        </w:trPr>
        <w:tc>
          <w:tcPr>
            <w:tcW w:w="110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月份</w:t>
            </w:r>
          </w:p>
        </w:tc>
        <w:tc>
          <w:tcPr>
            <w:tcW w:w="110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总来</w:t>
            </w:r>
          </w:p>
          <w:p>
            <w:pPr>
              <w:widowControl/>
              <w:spacing w:line="360" w:lineRule="auto"/>
              <w:jc w:val="center"/>
              <w:rPr>
                <w:rFonts w:ascii="宋体" w:hAnsi="宋体" w:cs="宋体"/>
                <w:kern w:val="0"/>
                <w:sz w:val="24"/>
                <w:szCs w:val="24"/>
              </w:rPr>
            </w:pPr>
            <w:r>
              <w:rPr>
                <w:rFonts w:hint="eastAsia" w:ascii="宋体" w:hAnsi="宋体" w:cs="宋体"/>
                <w:kern w:val="0"/>
                <w:sz w:val="24"/>
                <w:szCs w:val="24"/>
              </w:rPr>
              <w:t>水量</w:t>
            </w:r>
          </w:p>
        </w:tc>
        <w:tc>
          <w:tcPr>
            <w:tcW w:w="5115" w:type="dxa"/>
            <w:gridSpan w:val="4"/>
            <w:tcBorders>
              <w:top w:val="single" w:color="auto" w:sz="4" w:space="0"/>
              <w:left w:val="nil"/>
              <w:bottom w:val="single" w:color="auto" w:sz="4" w:space="0"/>
              <w:right w:val="single" w:color="000000"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需水量</w:t>
            </w:r>
          </w:p>
        </w:tc>
        <w:tc>
          <w:tcPr>
            <w:tcW w:w="1192"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平衡</w:t>
            </w:r>
          </w:p>
        </w:tc>
      </w:tr>
      <w:tr>
        <w:tblPrEx>
          <w:tblCellMar>
            <w:top w:w="0" w:type="dxa"/>
            <w:left w:w="108" w:type="dxa"/>
            <w:bottom w:w="0" w:type="dxa"/>
            <w:right w:w="108" w:type="dxa"/>
          </w:tblCellMar>
        </w:tblPrEx>
        <w:trPr>
          <w:trHeight w:val="327" w:hRule="atLeast"/>
          <w:jc w:val="center"/>
        </w:trPr>
        <w:tc>
          <w:tcPr>
            <w:tcW w:w="110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p>
        </w:tc>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饮用水</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牲畜用水</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灌溉用水</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总需水量</w:t>
            </w:r>
          </w:p>
        </w:tc>
        <w:tc>
          <w:tcPr>
            <w:tcW w:w="1192"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余（缺）</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137.0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13.5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38.2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98.8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2</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205.6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14.3</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8.1</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50.5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72.8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132.7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3</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1096.3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40.9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65.6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1030.7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1644.4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15.3</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8.6</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173.4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197.3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1447.1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5</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2603.7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614.0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638.7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1965.0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6</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4933.3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15.3</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8.6</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290.4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314.3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4619.0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7</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1233.3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623.3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648.1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585.3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1027.8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414.8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439.6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588.2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9</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753.7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15.3</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8.6</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96.3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120.3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633.4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10</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479.6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109.8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134.5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345.1 </w:t>
            </w:r>
          </w:p>
        </w:tc>
      </w:tr>
      <w:tr>
        <w:tblPrEx>
          <w:tblCellMar>
            <w:top w:w="0" w:type="dxa"/>
            <w:left w:w="108" w:type="dxa"/>
            <w:bottom w:w="0" w:type="dxa"/>
            <w:right w:w="108" w:type="dxa"/>
          </w:tblCellMar>
        </w:tblPrEx>
        <w:trPr>
          <w:trHeight w:val="327"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11</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479.6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15.3</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8.6</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94.8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118.8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360.8 </w:t>
            </w:r>
          </w:p>
        </w:tc>
      </w:tr>
      <w:tr>
        <w:tblPrEx>
          <w:tblCellMar>
            <w:top w:w="0" w:type="dxa"/>
            <w:left w:w="108" w:type="dxa"/>
            <w:bottom w:w="0" w:type="dxa"/>
            <w:right w:w="108" w:type="dxa"/>
          </w:tblCellMar>
        </w:tblPrEx>
        <w:trPr>
          <w:trHeight w:val="295"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12</w:t>
            </w:r>
          </w:p>
        </w:tc>
        <w:tc>
          <w:tcPr>
            <w:tcW w:w="1107"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205.6 </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15.8</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8.9</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10.2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34.9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170.7 </w:t>
            </w:r>
          </w:p>
        </w:tc>
      </w:tr>
      <w:tr>
        <w:tblPrEx>
          <w:tblCellMar>
            <w:top w:w="0" w:type="dxa"/>
            <w:left w:w="108" w:type="dxa"/>
            <w:bottom w:w="0" w:type="dxa"/>
            <w:right w:w="108" w:type="dxa"/>
          </w:tblCellMar>
        </w:tblPrEx>
        <w:trPr>
          <w:trHeight w:val="295" w:hRule="atLeast"/>
          <w:jc w:val="center"/>
        </w:trPr>
        <w:tc>
          <w:tcPr>
            <w:tcW w:w="110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合计</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14800</w:t>
            </w:r>
          </w:p>
        </w:tc>
        <w:tc>
          <w:tcPr>
            <w:tcW w:w="1107"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186.2</w:t>
            </w:r>
          </w:p>
        </w:tc>
        <w:tc>
          <w:tcPr>
            <w:tcW w:w="1336"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105.1</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2531.9 </w:t>
            </w:r>
          </w:p>
        </w:tc>
        <w:tc>
          <w:tcPr>
            <w:tcW w:w="1336"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2823.2 </w:t>
            </w:r>
          </w:p>
        </w:tc>
        <w:tc>
          <w:tcPr>
            <w:tcW w:w="1192" w:type="dxa"/>
            <w:tcBorders>
              <w:top w:val="nil"/>
              <w:left w:val="nil"/>
              <w:bottom w:val="single" w:color="auto" w:sz="4" w:space="0"/>
              <w:right w:val="single" w:color="auto" w:sz="4" w:space="0"/>
            </w:tcBorders>
            <w:noWrap w:val="0"/>
            <w:vAlign w:val="bottom"/>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 xml:space="preserve">11976.8 </w:t>
            </w:r>
          </w:p>
        </w:tc>
      </w:tr>
    </w:tbl>
    <w:p>
      <w:pPr>
        <w:spacing w:line="360" w:lineRule="auto"/>
        <w:ind w:firstLine="360" w:firstLineChars="150"/>
        <w:rPr>
          <w:rFonts w:hint="eastAsia"/>
          <w:sz w:val="24"/>
        </w:rPr>
      </w:pPr>
      <w:r>
        <w:rPr>
          <w:rFonts w:hint="eastAsia"/>
          <w:sz w:val="24"/>
        </w:rPr>
        <w:t>从上表中可以得出：设计代表年总来水量为1.48亿m3，总需水量为4610.4万m3，余水量10189.6万m3，流域内可供水量可以满足雁家湖水厂需水量的要求。</w:t>
      </w:r>
    </w:p>
    <w:p>
      <w:pPr>
        <w:pStyle w:val="2"/>
        <w:rPr>
          <w:rFonts w:hint="eastAsia"/>
        </w:rPr>
      </w:pPr>
    </w:p>
    <w:p>
      <w:pPr>
        <w:spacing w:after="120" w:afterLines="50" w:line="600" w:lineRule="exact"/>
        <w:ind w:firstLine="235" w:firstLineChars="98"/>
        <w:jc w:val="center"/>
        <w:rPr>
          <w:rFonts w:hint="eastAsia" w:ascii="宋体" w:hAnsi="宋体"/>
          <w:b w:val="0"/>
          <w:bCs/>
          <w:sz w:val="24"/>
          <w:szCs w:val="24"/>
        </w:rPr>
      </w:pPr>
      <w:r>
        <w:rPr>
          <w:rFonts w:hint="eastAsia" w:ascii="宋体" w:hAnsi="宋体"/>
          <w:b w:val="0"/>
          <w:bCs/>
          <w:sz w:val="24"/>
          <w:szCs w:val="24"/>
        </w:rPr>
        <w:t>湖塘水库(95%)典型年近期供需水量平衡表  单位：万m3</w:t>
      </w:r>
    </w:p>
    <w:tbl>
      <w:tblPr>
        <w:tblStyle w:val="32"/>
        <w:tblW w:w="0" w:type="auto"/>
        <w:jc w:val="center"/>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Layout w:type="fixed"/>
        <w:tblCellMar>
          <w:top w:w="0" w:type="dxa"/>
          <w:left w:w="108" w:type="dxa"/>
          <w:bottom w:w="0" w:type="dxa"/>
          <w:right w:w="108" w:type="dxa"/>
        </w:tblCellMar>
      </w:tblPr>
      <w:tblGrid>
        <w:gridCol w:w="713"/>
        <w:gridCol w:w="1074"/>
        <w:gridCol w:w="1231"/>
        <w:gridCol w:w="1231"/>
        <w:gridCol w:w="1056"/>
        <w:gridCol w:w="1074"/>
        <w:gridCol w:w="1074"/>
        <w:gridCol w:w="1067"/>
      </w:tblGrid>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713" w:type="dxa"/>
            <w:tcBorders>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月份</w:t>
            </w:r>
          </w:p>
        </w:tc>
        <w:tc>
          <w:tcPr>
            <w:tcW w:w="1074" w:type="dxa"/>
            <w:tcBorders>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可供水量</w:t>
            </w:r>
          </w:p>
          <w:p>
            <w:pPr>
              <w:spacing w:line="360" w:lineRule="auto"/>
              <w:jc w:val="center"/>
              <w:rPr>
                <w:rFonts w:ascii="宋体" w:hAnsi="宋体" w:cs="宋体"/>
                <w:kern w:val="0"/>
                <w:sz w:val="24"/>
                <w:szCs w:val="24"/>
              </w:rPr>
            </w:pPr>
            <w:r>
              <w:rPr>
                <w:rFonts w:hint="eastAsia" w:ascii="宋体" w:hAnsi="宋体" w:cs="宋体"/>
                <w:kern w:val="0"/>
                <w:sz w:val="24"/>
                <w:szCs w:val="24"/>
              </w:rPr>
              <w:t>（万m</w:t>
            </w:r>
            <w:r>
              <w:rPr>
                <w:rFonts w:hint="eastAsia" w:ascii="宋体" w:hAnsi="宋体" w:cs="宋体"/>
                <w:kern w:val="0"/>
                <w:sz w:val="24"/>
                <w:szCs w:val="24"/>
                <w:vertAlign w:val="superscript"/>
              </w:rPr>
              <w:t>3</w:t>
            </w:r>
            <w:r>
              <w:rPr>
                <w:rFonts w:ascii="宋体" w:hAnsi="宋体" w:cs="宋体"/>
                <w:kern w:val="0"/>
                <w:sz w:val="24"/>
                <w:szCs w:val="24"/>
              </w:rPr>
              <w:t>）</w:t>
            </w:r>
          </w:p>
        </w:tc>
        <w:tc>
          <w:tcPr>
            <w:tcW w:w="1231" w:type="dxa"/>
            <w:tcBorders>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人畜用水量（万m</w:t>
            </w:r>
            <w:r>
              <w:rPr>
                <w:rFonts w:hint="eastAsia" w:ascii="宋体" w:hAnsi="宋体" w:cs="宋体"/>
                <w:kern w:val="0"/>
                <w:sz w:val="24"/>
                <w:szCs w:val="24"/>
                <w:vertAlign w:val="superscript"/>
              </w:rPr>
              <w:t>3</w:t>
            </w:r>
            <w:r>
              <w:rPr>
                <w:rFonts w:ascii="宋体" w:hAnsi="宋体" w:cs="宋体"/>
                <w:kern w:val="0"/>
                <w:sz w:val="24"/>
                <w:szCs w:val="24"/>
              </w:rPr>
              <w:t>）</w:t>
            </w:r>
          </w:p>
        </w:tc>
        <w:tc>
          <w:tcPr>
            <w:tcW w:w="1231" w:type="dxa"/>
            <w:tcBorders>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灌溉需水量</w:t>
            </w:r>
          </w:p>
          <w:p>
            <w:pPr>
              <w:spacing w:line="360" w:lineRule="auto"/>
              <w:jc w:val="center"/>
              <w:rPr>
                <w:rFonts w:ascii="宋体" w:hAnsi="宋体" w:cs="宋体"/>
                <w:kern w:val="0"/>
                <w:sz w:val="24"/>
                <w:szCs w:val="24"/>
              </w:rPr>
            </w:pPr>
            <w:r>
              <w:rPr>
                <w:rFonts w:hint="eastAsia" w:ascii="宋体" w:hAnsi="宋体" w:cs="宋体"/>
                <w:kern w:val="0"/>
                <w:sz w:val="24"/>
                <w:szCs w:val="24"/>
              </w:rPr>
              <w:t>（万m</w:t>
            </w:r>
            <w:r>
              <w:rPr>
                <w:rFonts w:hint="eastAsia" w:ascii="宋体" w:hAnsi="宋体" w:cs="宋体"/>
                <w:kern w:val="0"/>
                <w:sz w:val="24"/>
                <w:szCs w:val="24"/>
                <w:vertAlign w:val="superscript"/>
              </w:rPr>
              <w:t>3</w:t>
            </w:r>
            <w:r>
              <w:rPr>
                <w:rFonts w:ascii="宋体" w:hAnsi="宋体" w:cs="宋体"/>
                <w:kern w:val="0"/>
                <w:sz w:val="24"/>
                <w:szCs w:val="24"/>
              </w:rPr>
              <w:t>）</w:t>
            </w:r>
          </w:p>
        </w:tc>
        <w:tc>
          <w:tcPr>
            <w:tcW w:w="1056" w:type="dxa"/>
            <w:tcBorders>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月初库容</w:t>
            </w:r>
          </w:p>
          <w:p>
            <w:pPr>
              <w:spacing w:line="360" w:lineRule="auto"/>
              <w:jc w:val="center"/>
              <w:rPr>
                <w:rFonts w:ascii="宋体" w:hAnsi="宋体" w:cs="宋体"/>
                <w:kern w:val="0"/>
                <w:sz w:val="24"/>
                <w:szCs w:val="24"/>
              </w:rPr>
            </w:pPr>
            <w:r>
              <w:rPr>
                <w:rFonts w:hint="eastAsia" w:ascii="宋体" w:hAnsi="宋体" w:cs="宋体"/>
                <w:kern w:val="0"/>
                <w:sz w:val="24"/>
                <w:szCs w:val="24"/>
              </w:rPr>
              <w:t>（万m</w:t>
            </w:r>
            <w:r>
              <w:rPr>
                <w:rFonts w:hint="eastAsia" w:ascii="宋体" w:hAnsi="宋体" w:cs="宋体"/>
                <w:kern w:val="0"/>
                <w:sz w:val="24"/>
                <w:szCs w:val="24"/>
                <w:vertAlign w:val="superscript"/>
              </w:rPr>
              <w:t>3</w:t>
            </w:r>
            <w:r>
              <w:rPr>
                <w:rFonts w:ascii="宋体" w:hAnsi="宋体" w:cs="宋体"/>
                <w:kern w:val="0"/>
                <w:sz w:val="24"/>
                <w:szCs w:val="24"/>
              </w:rPr>
              <w:t>）</w:t>
            </w:r>
          </w:p>
        </w:tc>
        <w:tc>
          <w:tcPr>
            <w:tcW w:w="1074" w:type="dxa"/>
            <w:tcBorders>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月底库容</w:t>
            </w:r>
          </w:p>
          <w:p>
            <w:pPr>
              <w:spacing w:line="360" w:lineRule="auto"/>
              <w:jc w:val="center"/>
              <w:rPr>
                <w:rFonts w:ascii="宋体" w:hAnsi="宋体" w:cs="宋体"/>
                <w:kern w:val="0"/>
                <w:sz w:val="24"/>
                <w:szCs w:val="24"/>
              </w:rPr>
            </w:pPr>
            <w:r>
              <w:rPr>
                <w:rFonts w:hint="eastAsia" w:ascii="宋体" w:hAnsi="宋体" w:cs="宋体"/>
                <w:kern w:val="0"/>
                <w:sz w:val="24"/>
                <w:szCs w:val="24"/>
              </w:rPr>
              <w:t>（万m</w:t>
            </w:r>
            <w:r>
              <w:rPr>
                <w:rFonts w:hint="eastAsia" w:ascii="宋体" w:hAnsi="宋体" w:cs="宋体"/>
                <w:kern w:val="0"/>
                <w:sz w:val="24"/>
                <w:szCs w:val="24"/>
                <w:vertAlign w:val="superscript"/>
              </w:rPr>
              <w:t>3</w:t>
            </w:r>
            <w:r>
              <w:rPr>
                <w:rFonts w:ascii="宋体" w:hAnsi="宋体" w:cs="宋体"/>
                <w:kern w:val="0"/>
                <w:sz w:val="24"/>
                <w:szCs w:val="24"/>
              </w:rPr>
              <w:t>）</w:t>
            </w:r>
          </w:p>
        </w:tc>
        <w:tc>
          <w:tcPr>
            <w:tcW w:w="1074" w:type="dxa"/>
            <w:tcBorders>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缺水</w:t>
            </w:r>
          </w:p>
          <w:p>
            <w:pPr>
              <w:spacing w:line="360" w:lineRule="auto"/>
              <w:jc w:val="center"/>
              <w:rPr>
                <w:rFonts w:ascii="宋体" w:hAnsi="宋体" w:cs="宋体"/>
                <w:kern w:val="0"/>
                <w:sz w:val="24"/>
                <w:szCs w:val="24"/>
              </w:rPr>
            </w:pPr>
            <w:r>
              <w:rPr>
                <w:rFonts w:hint="eastAsia" w:ascii="宋体" w:hAnsi="宋体" w:cs="宋体"/>
                <w:kern w:val="0"/>
                <w:sz w:val="24"/>
                <w:szCs w:val="24"/>
              </w:rPr>
              <w:t>（万m</w:t>
            </w:r>
            <w:r>
              <w:rPr>
                <w:rFonts w:hint="eastAsia" w:ascii="宋体" w:hAnsi="宋体" w:cs="宋体"/>
                <w:kern w:val="0"/>
                <w:sz w:val="24"/>
                <w:szCs w:val="24"/>
                <w:vertAlign w:val="superscript"/>
              </w:rPr>
              <w:t>3</w:t>
            </w:r>
            <w:r>
              <w:rPr>
                <w:rFonts w:ascii="宋体" w:hAnsi="宋体" w:cs="宋体"/>
                <w:kern w:val="0"/>
                <w:sz w:val="24"/>
                <w:szCs w:val="24"/>
              </w:rPr>
              <w:t>）</w:t>
            </w:r>
          </w:p>
        </w:tc>
        <w:tc>
          <w:tcPr>
            <w:tcW w:w="1067" w:type="dxa"/>
            <w:tcBorders>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泄洪</w:t>
            </w:r>
          </w:p>
          <w:p>
            <w:pPr>
              <w:widowControl/>
              <w:spacing w:line="360" w:lineRule="auto"/>
              <w:jc w:val="center"/>
              <w:rPr>
                <w:rFonts w:ascii="宋体" w:hAnsi="宋体" w:cs="宋体"/>
                <w:kern w:val="0"/>
                <w:sz w:val="24"/>
                <w:szCs w:val="24"/>
              </w:rPr>
            </w:pPr>
            <w:r>
              <w:rPr>
                <w:rFonts w:hint="eastAsia" w:ascii="宋体" w:hAnsi="宋体" w:cs="宋体"/>
                <w:kern w:val="0"/>
                <w:sz w:val="24"/>
                <w:szCs w:val="24"/>
              </w:rPr>
              <w:t>(弃水)</w:t>
            </w:r>
          </w:p>
          <w:p>
            <w:pPr>
              <w:spacing w:line="360" w:lineRule="auto"/>
              <w:jc w:val="center"/>
              <w:rPr>
                <w:rFonts w:ascii="宋体" w:hAnsi="宋体" w:cs="宋体"/>
                <w:kern w:val="0"/>
                <w:sz w:val="24"/>
                <w:szCs w:val="24"/>
              </w:rPr>
            </w:pPr>
            <w:r>
              <w:rPr>
                <w:rFonts w:hint="eastAsia" w:ascii="宋体" w:hAnsi="宋体" w:cs="宋体"/>
                <w:kern w:val="0"/>
                <w:sz w:val="24"/>
                <w:szCs w:val="24"/>
              </w:rPr>
              <w:t>（万m</w:t>
            </w:r>
            <w:r>
              <w:rPr>
                <w:rFonts w:hint="eastAsia" w:ascii="宋体" w:hAnsi="宋体" w:cs="宋体"/>
                <w:kern w:val="0"/>
                <w:sz w:val="24"/>
                <w:szCs w:val="24"/>
                <w:vertAlign w:val="superscript"/>
              </w:rPr>
              <w:t>3</w:t>
            </w:r>
            <w:r>
              <w:rPr>
                <w:rFonts w:ascii="宋体" w:hAnsi="宋体" w:cs="宋体"/>
                <w:kern w:val="0"/>
                <w:sz w:val="24"/>
                <w:szCs w:val="24"/>
              </w:rPr>
              <w:t>）</w:t>
            </w: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11</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144.78</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23.94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40.17</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40.00</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120.67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12</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62.05</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4.31</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120.67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153.67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41.36</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5.70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153.67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164.60</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2</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62.05</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22.34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21.39</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164.60</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182.91</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3</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330.92</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17.31</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182.91</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471.78</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496.38</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23.94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73.43</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471.78</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870.79</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5</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785.93</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260.03</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870.79</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1371.96</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6</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1489.13</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23.94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122.99</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1371.96</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2714.17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372.28</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264.00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2714.17</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2797.72</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8</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310.24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175.70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2797.72</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2907.52</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9</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227.51</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23.94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40.80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2907.52</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3070.29</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10</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144.78</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24.74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46.50</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3070.29</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3143.83</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4"/>
              </w:rPr>
            </w:pPr>
          </w:p>
        </w:tc>
        <w:tc>
          <w:tcPr>
            <w:tcW w:w="1067" w:type="dxa"/>
            <w:tcBorders>
              <w:top w:val="single" w:color="auto" w:sz="4" w:space="0"/>
              <w:left w:val="single" w:color="auto" w:sz="4" w:space="0"/>
              <w:bottom w:val="single" w:color="auto" w:sz="4" w:space="0"/>
            </w:tcBorders>
            <w:noWrap w:val="0"/>
            <w:vAlign w:val="center"/>
          </w:tcPr>
          <w:p>
            <w:pPr>
              <w:widowControl/>
              <w:spacing w:line="360" w:lineRule="auto"/>
              <w:jc w:val="center"/>
              <w:rPr>
                <w:rFonts w:ascii="宋体" w:hAnsi="宋体" w:cs="宋体"/>
                <w:kern w:val="0"/>
                <w:sz w:val="24"/>
                <w:szCs w:val="24"/>
              </w:rPr>
            </w:pPr>
          </w:p>
        </w:tc>
      </w:tr>
      <w:tr>
        <w:tblPrEx>
          <w:tblBorders>
            <w:top w:val="thickThinSmallGap" w:color="auto" w:sz="12" w:space="0"/>
            <w:left w:val="thickThinSmallGap" w:color="auto" w:sz="12" w:space="0"/>
            <w:bottom w:val="thinThickSmallGap" w:color="auto" w:sz="12" w:space="0"/>
            <w:right w:val="thinThickSmallGap" w:color="auto" w:sz="12" w:space="0"/>
            <w:insideH w:val="none" w:color="auto" w:sz="0" w:space="0"/>
            <w:insideV w:val="none" w:color="auto" w:sz="0" w:space="0"/>
          </w:tblBorders>
          <w:tblCellMar>
            <w:top w:w="0" w:type="dxa"/>
            <w:left w:w="108" w:type="dxa"/>
            <w:bottom w:w="0" w:type="dxa"/>
            <w:right w:w="108" w:type="dxa"/>
          </w:tblCellMar>
        </w:tblPrEx>
        <w:trPr>
          <w:trHeight w:val="382" w:hRule="exact"/>
          <w:jc w:val="center"/>
        </w:trPr>
        <w:tc>
          <w:tcPr>
            <w:tcW w:w="713" w:type="dxa"/>
            <w:tcBorders>
              <w:top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合计</w:t>
            </w:r>
          </w:p>
        </w:tc>
        <w:tc>
          <w:tcPr>
            <w:tcW w:w="1074" w:type="dxa"/>
            <w:tcBorders>
              <w:top w:val="single" w:color="auto" w:sz="4" w:space="0"/>
              <w:left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4467.4</w:t>
            </w:r>
          </w:p>
        </w:tc>
        <w:tc>
          <w:tcPr>
            <w:tcW w:w="1231" w:type="dxa"/>
            <w:tcBorders>
              <w:top w:val="single" w:color="auto" w:sz="4" w:space="0"/>
              <w:left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291.27</w:t>
            </w:r>
          </w:p>
        </w:tc>
        <w:tc>
          <w:tcPr>
            <w:tcW w:w="1231" w:type="dxa"/>
            <w:tcBorders>
              <w:top w:val="single" w:color="auto" w:sz="4" w:space="0"/>
              <w:left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sz w:val="24"/>
                <w:szCs w:val="24"/>
              </w:rPr>
              <w:t>1072.32</w:t>
            </w:r>
          </w:p>
        </w:tc>
        <w:tc>
          <w:tcPr>
            <w:tcW w:w="1056" w:type="dxa"/>
            <w:tcBorders>
              <w:top w:val="single" w:color="auto" w:sz="4" w:space="0"/>
              <w:left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p>
        </w:tc>
        <w:tc>
          <w:tcPr>
            <w:tcW w:w="1074" w:type="dxa"/>
            <w:tcBorders>
              <w:top w:val="single" w:color="auto" w:sz="4" w:space="0"/>
              <w:left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p>
        </w:tc>
        <w:tc>
          <w:tcPr>
            <w:tcW w:w="1074" w:type="dxa"/>
            <w:tcBorders>
              <w:top w:val="single" w:color="auto" w:sz="4" w:space="0"/>
              <w:left w:val="single" w:color="auto" w:sz="4" w:space="0"/>
              <w:right w:val="single" w:color="auto" w:sz="4" w:space="0"/>
            </w:tcBorders>
            <w:noWrap w:val="0"/>
            <w:vAlign w:val="center"/>
          </w:tcPr>
          <w:p>
            <w:pPr>
              <w:widowControl/>
              <w:spacing w:line="360" w:lineRule="auto"/>
              <w:jc w:val="center"/>
              <w:rPr>
                <w:rFonts w:ascii="宋体" w:hAnsi="宋体" w:cs="宋体"/>
                <w:kern w:val="0"/>
                <w:sz w:val="24"/>
                <w:szCs w:val="24"/>
              </w:rPr>
            </w:pPr>
          </w:p>
        </w:tc>
        <w:tc>
          <w:tcPr>
            <w:tcW w:w="1067" w:type="dxa"/>
            <w:tcBorders>
              <w:top w:val="single" w:color="auto" w:sz="4" w:space="0"/>
              <w:left w:val="single" w:color="auto" w:sz="4" w:space="0"/>
            </w:tcBorders>
            <w:noWrap w:val="0"/>
            <w:vAlign w:val="center"/>
          </w:tcPr>
          <w:p>
            <w:pPr>
              <w:widowControl/>
              <w:spacing w:line="360" w:lineRule="auto"/>
              <w:jc w:val="center"/>
              <w:rPr>
                <w:rFonts w:ascii="宋体" w:hAnsi="宋体" w:cs="宋体"/>
                <w:kern w:val="0"/>
                <w:sz w:val="24"/>
                <w:szCs w:val="24"/>
              </w:rPr>
            </w:pPr>
          </w:p>
        </w:tc>
      </w:tr>
    </w:tbl>
    <w:p>
      <w:pPr>
        <w:snapToGrid w:val="0"/>
        <w:spacing w:line="360" w:lineRule="auto"/>
        <w:ind w:firstLine="556"/>
        <w:rPr>
          <w:rFonts w:hint="eastAsia" w:ascii="宋体" w:hAnsi="宋体"/>
          <w:bCs/>
          <w:sz w:val="24"/>
        </w:rPr>
      </w:pPr>
      <w:r>
        <w:rPr>
          <w:rFonts w:hint="eastAsia" w:ascii="宋体" w:hAnsi="宋体"/>
          <w:sz w:val="24"/>
        </w:rPr>
        <w:t>备注：湖塘水库灌溉1.5万亩。</w:t>
      </w:r>
    </w:p>
    <w:p>
      <w:pPr>
        <w:spacing w:line="360" w:lineRule="auto"/>
        <w:ind w:firstLine="360" w:firstLineChars="150"/>
        <w:rPr>
          <w:rFonts w:hint="eastAsia" w:ascii="宋体" w:hAnsi="宋体"/>
          <w:bCs/>
          <w:sz w:val="24"/>
          <w:szCs w:val="24"/>
        </w:rPr>
      </w:pPr>
      <w:r>
        <w:rPr>
          <w:rFonts w:hint="eastAsia" w:ascii="宋体" w:hAnsi="宋体"/>
          <w:bCs/>
          <w:sz w:val="24"/>
          <w:szCs w:val="24"/>
        </w:rPr>
        <w:t>本工程枯水期供水主要由上游湖塘中型水库进行调节，通过</w:t>
      </w:r>
      <w:r>
        <w:rPr>
          <w:rFonts w:hint="eastAsia" w:ascii="宋体" w:hAnsi="宋体"/>
          <w:bCs/>
          <w:sz w:val="24"/>
          <w:szCs w:val="24"/>
          <w:lang w:val="en-US" w:eastAsia="zh-CN"/>
        </w:rPr>
        <w:t>上表</w:t>
      </w:r>
      <w:r>
        <w:rPr>
          <w:rFonts w:hint="eastAsia" w:ascii="宋体" w:hAnsi="宋体"/>
          <w:bCs/>
          <w:sz w:val="24"/>
          <w:szCs w:val="24"/>
        </w:rPr>
        <w:t>可知：湖塘水库典型年可供水量为4467.4万</w:t>
      </w:r>
      <w:r>
        <w:rPr>
          <w:rFonts w:ascii="宋体" w:hAnsi="宋体"/>
          <w:bCs/>
          <w:sz w:val="24"/>
          <w:szCs w:val="24"/>
        </w:rPr>
        <w:t>m</w:t>
      </w:r>
      <w:r>
        <w:rPr>
          <w:rFonts w:hint="eastAsia" w:ascii="宋体" w:hAnsi="宋体"/>
          <w:bCs/>
          <w:sz w:val="24"/>
          <w:szCs w:val="24"/>
          <w:vertAlign w:val="superscript"/>
        </w:rPr>
        <w:t>3</w:t>
      </w:r>
      <w:r>
        <w:rPr>
          <w:rFonts w:hint="eastAsia" w:ascii="宋体" w:hAnsi="宋体"/>
          <w:bCs/>
          <w:sz w:val="24"/>
          <w:szCs w:val="24"/>
        </w:rPr>
        <w:t>，现有灌区1.5万亩需灌溉，需水量为1072.3万</w:t>
      </w:r>
      <w:r>
        <w:rPr>
          <w:rFonts w:ascii="宋体" w:hAnsi="宋体"/>
          <w:bCs/>
          <w:sz w:val="24"/>
          <w:szCs w:val="24"/>
        </w:rPr>
        <w:t>m</w:t>
      </w:r>
      <w:r>
        <w:rPr>
          <w:rFonts w:hint="eastAsia" w:ascii="宋体" w:hAnsi="宋体"/>
          <w:bCs/>
          <w:sz w:val="24"/>
          <w:szCs w:val="24"/>
          <w:vertAlign w:val="superscript"/>
        </w:rPr>
        <w:t>3</w:t>
      </w:r>
      <w:r>
        <w:rPr>
          <w:rFonts w:hint="eastAsia" w:ascii="宋体" w:hAnsi="宋体"/>
          <w:bCs/>
          <w:sz w:val="24"/>
          <w:szCs w:val="24"/>
        </w:rPr>
        <w:t>，可供水量为3103.8万</w:t>
      </w:r>
      <w:r>
        <w:rPr>
          <w:rFonts w:ascii="宋体" w:hAnsi="宋体"/>
          <w:bCs/>
          <w:sz w:val="24"/>
          <w:szCs w:val="24"/>
        </w:rPr>
        <w:t>m</w:t>
      </w:r>
      <w:r>
        <w:rPr>
          <w:rFonts w:hint="eastAsia" w:ascii="宋体" w:hAnsi="宋体"/>
          <w:bCs/>
          <w:sz w:val="24"/>
          <w:szCs w:val="24"/>
          <w:vertAlign w:val="superscript"/>
        </w:rPr>
        <w:t>3</w:t>
      </w:r>
      <w:r>
        <w:rPr>
          <w:rFonts w:hint="eastAsia" w:ascii="宋体" w:hAnsi="宋体"/>
          <w:bCs/>
          <w:sz w:val="24"/>
          <w:szCs w:val="24"/>
        </w:rPr>
        <w:t>，逐月调节均能同时满足灌溉和本工程需水量。</w:t>
      </w:r>
    </w:p>
    <w:p>
      <w:pPr>
        <w:spacing w:line="360" w:lineRule="auto"/>
        <w:ind w:firstLine="360" w:firstLineChars="150"/>
        <w:rPr>
          <w:rFonts w:hint="eastAsia"/>
          <w:sz w:val="24"/>
          <w:szCs w:val="24"/>
        </w:rPr>
      </w:pPr>
      <w:r>
        <w:rPr>
          <w:rFonts w:hint="eastAsia" w:ascii="宋体" w:hAnsi="宋体"/>
          <w:bCs/>
          <w:sz w:val="24"/>
          <w:szCs w:val="24"/>
        </w:rPr>
        <w:t>因此，湖塘水库典型年在保证现状灌溉面积及人畜用水的情况下能够满足本工程需水量的要求。为保障本工程的稳定运行，本着</w:t>
      </w:r>
      <w:r>
        <w:rPr>
          <w:rFonts w:ascii="宋体" w:hAnsi="宋体"/>
          <w:color w:val="000000"/>
          <w:sz w:val="24"/>
          <w:szCs w:val="24"/>
        </w:rPr>
        <w:t>城镇用水优先于灌溉用水、灌溉用水</w:t>
      </w:r>
      <w:r>
        <w:rPr>
          <w:rFonts w:hint="eastAsia" w:ascii="宋体" w:hAnsi="宋体"/>
          <w:color w:val="000000"/>
          <w:sz w:val="24"/>
          <w:szCs w:val="24"/>
        </w:rPr>
        <w:t>结合</w:t>
      </w:r>
      <w:r>
        <w:rPr>
          <w:rFonts w:ascii="宋体" w:hAnsi="宋体"/>
          <w:color w:val="000000"/>
          <w:sz w:val="24"/>
          <w:szCs w:val="24"/>
        </w:rPr>
        <w:t>发电用水</w:t>
      </w:r>
      <w:r>
        <w:rPr>
          <w:rFonts w:hint="eastAsia" w:ascii="宋体" w:hAnsi="宋体"/>
          <w:color w:val="000000"/>
          <w:sz w:val="24"/>
          <w:szCs w:val="24"/>
        </w:rPr>
        <w:t>的原则，</w:t>
      </w:r>
      <w:r>
        <w:rPr>
          <w:rFonts w:hint="eastAsia" w:ascii="宋体" w:hAnsi="宋体"/>
          <w:bCs/>
          <w:sz w:val="24"/>
          <w:szCs w:val="24"/>
        </w:rPr>
        <w:t>湖塘水库应优先保证本工程的用水，再供水至灌区使用。</w:t>
      </w:r>
    </w:p>
    <w:p>
      <w:pPr>
        <w:numPr>
          <w:ilvl w:val="0"/>
          <w:numId w:val="7"/>
        </w:numPr>
        <w:spacing w:line="360" w:lineRule="auto"/>
        <w:ind w:firstLine="480" w:firstLineChars="200"/>
        <w:rPr>
          <w:rFonts w:hint="eastAsia"/>
          <w:sz w:val="24"/>
        </w:rPr>
      </w:pPr>
      <w:r>
        <w:rPr>
          <w:rFonts w:hint="eastAsia"/>
          <w:sz w:val="24"/>
          <w:lang w:val="en-US" w:eastAsia="zh-CN"/>
        </w:rPr>
        <w:t>林泉</w:t>
      </w:r>
      <w:r>
        <w:rPr>
          <w:rFonts w:hint="eastAsia"/>
          <w:sz w:val="24"/>
        </w:rPr>
        <w:t>水厂</w:t>
      </w:r>
    </w:p>
    <w:p>
      <w:pPr>
        <w:spacing w:line="360" w:lineRule="auto"/>
        <w:ind w:firstLine="360" w:firstLineChars="150"/>
        <w:rPr>
          <w:rFonts w:hint="eastAsia"/>
          <w:sz w:val="24"/>
        </w:rPr>
      </w:pPr>
      <w:r>
        <w:rPr>
          <w:rFonts w:hint="eastAsia"/>
          <w:sz w:val="24"/>
          <w:lang w:val="en-US" w:eastAsia="zh-CN"/>
        </w:rPr>
        <w:t>林泉水厂</w:t>
      </w:r>
      <w:r>
        <w:rPr>
          <w:rFonts w:hint="eastAsia"/>
          <w:sz w:val="24"/>
        </w:rPr>
        <w:t>的取水水源为林泉水库，自来水厂年总需水量为</w:t>
      </w:r>
      <w:r>
        <w:rPr>
          <w:rFonts w:hint="eastAsia" w:ascii="宋体" w:hAnsi="宋体" w:eastAsia="宋体" w:cs="宋体"/>
          <w:i w:val="0"/>
          <w:color w:val="000000"/>
          <w:kern w:val="0"/>
          <w:sz w:val="24"/>
          <w:szCs w:val="24"/>
          <w:u w:val="none"/>
          <w:lang w:val="en-US" w:eastAsia="zh-CN" w:bidi="ar-SA"/>
        </w:rPr>
        <w:t>830.36</w:t>
      </w:r>
      <w:r>
        <w:rPr>
          <w:rFonts w:hint="eastAsia"/>
          <w:sz w:val="24"/>
        </w:rPr>
        <w:t>万m</w:t>
      </w:r>
      <w:r>
        <w:rPr>
          <w:rFonts w:hint="eastAsia"/>
          <w:sz w:val="24"/>
          <w:vertAlign w:val="superscript"/>
        </w:rPr>
        <w:t>3</w:t>
      </w:r>
      <w:r>
        <w:rPr>
          <w:rFonts w:hint="eastAsia"/>
          <w:sz w:val="24"/>
        </w:rPr>
        <w:t>，其中包含</w:t>
      </w:r>
      <w:r>
        <w:rPr>
          <w:rFonts w:hint="eastAsia"/>
          <w:sz w:val="24"/>
          <w:lang w:val="en-US" w:eastAsia="zh-CN"/>
        </w:rPr>
        <w:t>7</w:t>
      </w:r>
      <w:r>
        <w:rPr>
          <w:rFonts w:hint="eastAsia"/>
          <w:sz w:val="24"/>
        </w:rPr>
        <w:t>00万m</w:t>
      </w:r>
      <w:r>
        <w:rPr>
          <w:rFonts w:hint="eastAsia"/>
          <w:sz w:val="24"/>
          <w:vertAlign w:val="superscript"/>
        </w:rPr>
        <w:t>3</w:t>
      </w:r>
      <w:r>
        <w:rPr>
          <w:rFonts w:hint="eastAsia"/>
          <w:sz w:val="24"/>
        </w:rPr>
        <w:t>的灌溉任务。林泉水库的有效库容为995.72万m</w:t>
      </w:r>
      <w:r>
        <w:rPr>
          <w:rFonts w:hint="eastAsia"/>
          <w:sz w:val="24"/>
          <w:vertAlign w:val="superscript"/>
        </w:rPr>
        <w:t>3</w:t>
      </w:r>
      <w:r>
        <w:rPr>
          <w:rFonts w:hint="eastAsia"/>
          <w:sz w:val="24"/>
        </w:rPr>
        <w:t>，来水为博阳河，集雨面积为20.8 km</w:t>
      </w:r>
      <w:r>
        <w:rPr>
          <w:rFonts w:hint="eastAsia"/>
          <w:sz w:val="24"/>
          <w:vertAlign w:val="superscript"/>
        </w:rPr>
        <w:t>2</w:t>
      </w:r>
      <w:r>
        <w:rPr>
          <w:rFonts w:hint="eastAsia"/>
          <w:sz w:val="24"/>
        </w:rPr>
        <w:t>，有关水库的复蓄系数根据江西省农村自来水工程规划工作大纲的规定确定，林泉水库为小型水库，取值范围为1.3-1.8，通过与40A/V比较选取正确的复蓄系数。林泉水库取1.3。根据河道来水量河流天然来水可供水量计算（软件）可得：林泉水库水源年来水量为978万m</w:t>
      </w:r>
      <w:r>
        <w:rPr>
          <w:rFonts w:hint="eastAsia"/>
          <w:sz w:val="24"/>
          <w:vertAlign w:val="superscript"/>
        </w:rPr>
        <w:t>3</w:t>
      </w:r>
      <w:r>
        <w:rPr>
          <w:rFonts w:hint="eastAsia"/>
          <w:sz w:val="24"/>
        </w:rPr>
        <w:t>。</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5"/>
        <w:gridCol w:w="2865"/>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725" w:type="dxa"/>
            <w:noWrap w:val="0"/>
            <w:vAlign w:val="center"/>
          </w:tcPr>
          <w:p>
            <w:pPr>
              <w:spacing w:line="360" w:lineRule="auto"/>
              <w:jc w:val="center"/>
              <w:rPr>
                <w:rFonts w:hint="eastAsia"/>
                <w:sz w:val="24"/>
                <w:szCs w:val="24"/>
              </w:rPr>
            </w:pPr>
            <w:r>
              <w:rPr>
                <w:rFonts w:hint="eastAsia"/>
                <w:sz w:val="24"/>
                <w:szCs w:val="24"/>
              </w:rPr>
              <w:t>水库</w:t>
            </w:r>
          </w:p>
        </w:tc>
        <w:tc>
          <w:tcPr>
            <w:tcW w:w="2865" w:type="dxa"/>
            <w:noWrap w:val="0"/>
            <w:vAlign w:val="center"/>
          </w:tcPr>
          <w:p>
            <w:pPr>
              <w:spacing w:line="360" w:lineRule="auto"/>
              <w:jc w:val="center"/>
              <w:rPr>
                <w:rFonts w:hint="eastAsia"/>
                <w:sz w:val="24"/>
                <w:szCs w:val="24"/>
              </w:rPr>
            </w:pPr>
            <w:r>
              <w:rPr>
                <w:rFonts w:hint="eastAsia"/>
                <w:sz w:val="24"/>
                <w:szCs w:val="24"/>
              </w:rPr>
              <w:t>95%年来水量（万m</w:t>
            </w:r>
            <w:r>
              <w:rPr>
                <w:rFonts w:hint="eastAsia"/>
                <w:sz w:val="24"/>
                <w:szCs w:val="24"/>
                <w:vertAlign w:val="superscript"/>
              </w:rPr>
              <w:t>3</w:t>
            </w:r>
            <w:r>
              <w:rPr>
                <w:rFonts w:hint="eastAsia"/>
                <w:sz w:val="24"/>
                <w:szCs w:val="24"/>
              </w:rPr>
              <w:t>）</w:t>
            </w:r>
          </w:p>
        </w:tc>
        <w:tc>
          <w:tcPr>
            <w:tcW w:w="2825" w:type="dxa"/>
            <w:noWrap w:val="0"/>
            <w:vAlign w:val="center"/>
          </w:tcPr>
          <w:p>
            <w:pPr>
              <w:spacing w:line="360" w:lineRule="auto"/>
              <w:jc w:val="center"/>
              <w:rPr>
                <w:rFonts w:hint="eastAsia"/>
                <w:sz w:val="24"/>
                <w:szCs w:val="24"/>
              </w:rPr>
            </w:pPr>
            <w:r>
              <w:rPr>
                <w:rFonts w:hint="eastAsia"/>
                <w:sz w:val="24"/>
                <w:szCs w:val="24"/>
              </w:rPr>
              <w:t>复蓄后水量（万m</w:t>
            </w:r>
            <w:r>
              <w:rPr>
                <w:rFonts w:hint="eastAsia"/>
                <w:sz w:val="24"/>
                <w:szCs w:val="24"/>
                <w:vertAlign w:val="superscript"/>
              </w:rPr>
              <w:t>3</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noWrap w:val="0"/>
            <w:vAlign w:val="center"/>
          </w:tcPr>
          <w:p>
            <w:pPr>
              <w:spacing w:line="360" w:lineRule="auto"/>
              <w:jc w:val="center"/>
              <w:rPr>
                <w:rFonts w:hint="eastAsia"/>
                <w:sz w:val="24"/>
                <w:szCs w:val="24"/>
              </w:rPr>
            </w:pPr>
            <w:r>
              <w:rPr>
                <w:rFonts w:hint="eastAsia"/>
                <w:sz w:val="24"/>
                <w:szCs w:val="24"/>
              </w:rPr>
              <w:t>林泉水库</w:t>
            </w:r>
          </w:p>
        </w:tc>
        <w:tc>
          <w:tcPr>
            <w:tcW w:w="2865" w:type="dxa"/>
            <w:noWrap w:val="0"/>
            <w:vAlign w:val="center"/>
          </w:tcPr>
          <w:p>
            <w:pPr>
              <w:spacing w:line="360" w:lineRule="auto"/>
              <w:jc w:val="center"/>
              <w:rPr>
                <w:rFonts w:hint="eastAsia"/>
                <w:sz w:val="24"/>
                <w:szCs w:val="24"/>
              </w:rPr>
            </w:pPr>
            <w:r>
              <w:rPr>
                <w:rFonts w:hint="eastAsia"/>
                <w:sz w:val="24"/>
                <w:szCs w:val="24"/>
              </w:rPr>
              <w:t>978</w:t>
            </w:r>
          </w:p>
        </w:tc>
        <w:tc>
          <w:tcPr>
            <w:tcW w:w="2825" w:type="dxa"/>
            <w:noWrap w:val="0"/>
            <w:vAlign w:val="center"/>
          </w:tcPr>
          <w:p>
            <w:pPr>
              <w:spacing w:line="360" w:lineRule="auto"/>
              <w:jc w:val="center"/>
              <w:rPr>
                <w:rFonts w:hint="eastAsia"/>
                <w:sz w:val="24"/>
                <w:szCs w:val="24"/>
              </w:rPr>
            </w:pPr>
            <w:r>
              <w:rPr>
                <w:rFonts w:hint="eastAsia"/>
                <w:sz w:val="24"/>
                <w:szCs w:val="24"/>
              </w:rPr>
              <w:t>1294.44</w:t>
            </w:r>
          </w:p>
        </w:tc>
      </w:tr>
    </w:tbl>
    <w:p>
      <w:pPr>
        <w:spacing w:line="360" w:lineRule="auto"/>
        <w:ind w:firstLine="480" w:firstLineChars="200"/>
        <w:rPr>
          <w:rFonts w:hint="eastAsia"/>
          <w:sz w:val="24"/>
        </w:rPr>
      </w:pPr>
      <w:r>
        <w:rPr>
          <w:rFonts w:hint="eastAsia"/>
          <w:sz w:val="24"/>
        </w:rPr>
        <w:t>从工程质量可靠方面来讲，95%年来水量及复蓄后水量取小值更合理，通过</w:t>
      </w:r>
      <w:r>
        <w:rPr>
          <w:rFonts w:hint="eastAsia"/>
          <w:sz w:val="24"/>
          <w:lang w:val="en-US" w:eastAsia="zh-CN"/>
        </w:rPr>
        <w:t>上表</w:t>
      </w:r>
      <w:r>
        <w:rPr>
          <w:rFonts w:hint="eastAsia"/>
          <w:sz w:val="24"/>
        </w:rPr>
        <w:t>比较可得</w:t>
      </w:r>
      <w:r>
        <w:rPr>
          <w:rFonts w:hint="eastAsia"/>
          <w:sz w:val="24"/>
          <w:lang w:val="en-US" w:eastAsia="zh-CN"/>
        </w:rPr>
        <w:t>林泉</w:t>
      </w:r>
      <w:r>
        <w:rPr>
          <w:rFonts w:hint="eastAsia"/>
          <w:sz w:val="24"/>
        </w:rPr>
        <w:t>水厂水源可供水量为978万m</w:t>
      </w:r>
      <w:r>
        <w:rPr>
          <w:rFonts w:hint="eastAsia"/>
          <w:sz w:val="24"/>
          <w:vertAlign w:val="superscript"/>
        </w:rPr>
        <w:t>3</w:t>
      </w:r>
      <w:r>
        <w:rPr>
          <w:rFonts w:hint="eastAsia"/>
          <w:sz w:val="24"/>
        </w:rPr>
        <w:t>，满足设计要求。</w:t>
      </w:r>
    </w:p>
    <w:p>
      <w:pPr>
        <w:numPr>
          <w:ilvl w:val="0"/>
          <w:numId w:val="7"/>
        </w:numPr>
        <w:spacing w:line="360" w:lineRule="auto"/>
        <w:ind w:firstLine="480" w:firstLineChars="200"/>
        <w:rPr>
          <w:rFonts w:hint="eastAsia"/>
          <w:sz w:val="24"/>
        </w:rPr>
      </w:pPr>
      <w:r>
        <w:rPr>
          <w:rFonts w:hint="eastAsia"/>
          <w:sz w:val="24"/>
        </w:rPr>
        <w:t>邹桥自来水工程</w:t>
      </w:r>
    </w:p>
    <w:p>
      <w:pPr>
        <w:spacing w:line="360" w:lineRule="auto"/>
        <w:ind w:firstLine="360" w:firstLineChars="150"/>
        <w:rPr>
          <w:rFonts w:hint="eastAsia"/>
          <w:sz w:val="24"/>
        </w:rPr>
      </w:pPr>
      <w:r>
        <w:rPr>
          <w:rFonts w:hint="eastAsia"/>
          <w:sz w:val="24"/>
        </w:rPr>
        <w:t>邹桥自来水工程共1个水厂，工程总需水量为</w:t>
      </w:r>
      <w:r>
        <w:rPr>
          <w:rFonts w:hint="eastAsia" w:ascii="宋体" w:hAnsi="宋体" w:eastAsia="宋体" w:cs="宋体"/>
          <w:i w:val="0"/>
          <w:color w:val="000000"/>
          <w:kern w:val="0"/>
          <w:sz w:val="24"/>
          <w:szCs w:val="24"/>
          <w:u w:val="none"/>
          <w:lang w:val="en-US" w:eastAsia="zh-CN" w:bidi="ar-SA"/>
        </w:rPr>
        <w:t>130.36</w:t>
      </w:r>
      <w:r>
        <w:rPr>
          <w:rFonts w:hint="eastAsia"/>
          <w:sz w:val="24"/>
        </w:rPr>
        <w:t>万m</w:t>
      </w:r>
      <w:r>
        <w:rPr>
          <w:rFonts w:hint="eastAsia"/>
          <w:sz w:val="24"/>
          <w:vertAlign w:val="superscript"/>
        </w:rPr>
        <w:t>3</w:t>
      </w:r>
      <w:r>
        <w:rPr>
          <w:rFonts w:hint="eastAsia"/>
          <w:sz w:val="24"/>
        </w:rPr>
        <w:t>，水厂的取水水源为湖塘水库。湖塘水库的有效库容为3760万m</w:t>
      </w:r>
      <w:r>
        <w:rPr>
          <w:rFonts w:hint="eastAsia"/>
          <w:sz w:val="24"/>
          <w:vertAlign w:val="superscript"/>
        </w:rPr>
        <w:t>3</w:t>
      </w:r>
      <w:r>
        <w:rPr>
          <w:rFonts w:hint="eastAsia"/>
          <w:sz w:val="24"/>
        </w:rPr>
        <w:t>，来水为博阳河，集雨面积为144 km</w:t>
      </w:r>
      <w:r>
        <w:rPr>
          <w:rFonts w:hint="eastAsia"/>
          <w:sz w:val="24"/>
          <w:vertAlign w:val="superscript"/>
        </w:rPr>
        <w:t>2</w:t>
      </w:r>
      <w:r>
        <w:rPr>
          <w:rFonts w:hint="eastAsia"/>
          <w:sz w:val="24"/>
        </w:rPr>
        <w:t>，有关水库的复蓄系数根据江西省农村自来水工程规划工作大纲的规定确定，林泉水库为中型水库，取值范围为1.1-1.5，通过与40A/V比较选取正确的复蓄系数。湖塘水库取1.5。根据河道来水量河流天然来水可供水量计算（软件）可得：湖塘水库水源年来水量为6770.0万m</w:t>
      </w:r>
      <w:r>
        <w:rPr>
          <w:rFonts w:hint="eastAsia"/>
          <w:sz w:val="24"/>
          <w:vertAlign w:val="superscript"/>
        </w:rPr>
        <w:t>3</w:t>
      </w:r>
      <w:r>
        <w:rPr>
          <w:rFonts w:hint="eastAsia"/>
          <w:sz w:val="24"/>
        </w:rPr>
        <w:t>。</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289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722" w:type="dxa"/>
            <w:noWrap w:val="0"/>
            <w:vAlign w:val="center"/>
          </w:tcPr>
          <w:p>
            <w:pPr>
              <w:spacing w:line="360" w:lineRule="auto"/>
              <w:jc w:val="center"/>
              <w:rPr>
                <w:rFonts w:hint="eastAsia"/>
                <w:sz w:val="24"/>
                <w:szCs w:val="24"/>
              </w:rPr>
            </w:pPr>
            <w:r>
              <w:rPr>
                <w:rFonts w:hint="eastAsia"/>
                <w:sz w:val="24"/>
                <w:szCs w:val="24"/>
              </w:rPr>
              <w:t>水库</w:t>
            </w:r>
          </w:p>
        </w:tc>
        <w:tc>
          <w:tcPr>
            <w:tcW w:w="2892" w:type="dxa"/>
            <w:noWrap w:val="0"/>
            <w:vAlign w:val="center"/>
          </w:tcPr>
          <w:p>
            <w:pPr>
              <w:spacing w:line="360" w:lineRule="auto"/>
              <w:jc w:val="center"/>
              <w:rPr>
                <w:rFonts w:hint="eastAsia"/>
                <w:sz w:val="24"/>
                <w:szCs w:val="24"/>
              </w:rPr>
            </w:pPr>
            <w:r>
              <w:rPr>
                <w:rFonts w:hint="eastAsia"/>
                <w:sz w:val="24"/>
                <w:szCs w:val="24"/>
              </w:rPr>
              <w:t>95%年来水量（万m</w:t>
            </w:r>
            <w:r>
              <w:rPr>
                <w:rFonts w:hint="eastAsia"/>
                <w:sz w:val="24"/>
                <w:szCs w:val="24"/>
                <w:vertAlign w:val="superscript"/>
              </w:rPr>
              <w:t>3</w:t>
            </w:r>
            <w:r>
              <w:rPr>
                <w:rFonts w:hint="eastAsia"/>
                <w:sz w:val="24"/>
                <w:szCs w:val="24"/>
              </w:rPr>
              <w:t>）</w:t>
            </w:r>
          </w:p>
        </w:tc>
        <w:tc>
          <w:tcPr>
            <w:tcW w:w="2801" w:type="dxa"/>
            <w:noWrap w:val="0"/>
            <w:vAlign w:val="center"/>
          </w:tcPr>
          <w:p>
            <w:pPr>
              <w:spacing w:line="360" w:lineRule="auto"/>
              <w:jc w:val="center"/>
              <w:rPr>
                <w:rFonts w:hint="eastAsia"/>
                <w:sz w:val="24"/>
                <w:szCs w:val="24"/>
              </w:rPr>
            </w:pPr>
            <w:r>
              <w:rPr>
                <w:rFonts w:hint="eastAsia"/>
                <w:sz w:val="24"/>
                <w:szCs w:val="24"/>
              </w:rPr>
              <w:t>复蓄后水量（万m</w:t>
            </w:r>
            <w:r>
              <w:rPr>
                <w:rFonts w:hint="eastAsia"/>
                <w:sz w:val="24"/>
                <w:szCs w:val="24"/>
                <w:vertAlign w:val="superscript"/>
              </w:rPr>
              <w:t>3</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noWrap w:val="0"/>
            <w:vAlign w:val="center"/>
          </w:tcPr>
          <w:p>
            <w:pPr>
              <w:spacing w:line="360" w:lineRule="auto"/>
              <w:jc w:val="center"/>
              <w:rPr>
                <w:rFonts w:hint="eastAsia"/>
                <w:sz w:val="24"/>
                <w:szCs w:val="24"/>
              </w:rPr>
            </w:pPr>
            <w:r>
              <w:rPr>
                <w:rFonts w:hint="eastAsia"/>
                <w:sz w:val="24"/>
                <w:szCs w:val="24"/>
              </w:rPr>
              <w:t>湖塘水库</w:t>
            </w:r>
          </w:p>
        </w:tc>
        <w:tc>
          <w:tcPr>
            <w:tcW w:w="2892" w:type="dxa"/>
            <w:noWrap w:val="0"/>
            <w:vAlign w:val="center"/>
          </w:tcPr>
          <w:p>
            <w:pPr>
              <w:spacing w:line="360" w:lineRule="auto"/>
              <w:jc w:val="center"/>
              <w:rPr>
                <w:rFonts w:hint="eastAsia"/>
                <w:sz w:val="24"/>
                <w:szCs w:val="24"/>
              </w:rPr>
            </w:pPr>
            <w:r>
              <w:rPr>
                <w:rFonts w:hint="eastAsia"/>
                <w:sz w:val="24"/>
                <w:szCs w:val="24"/>
              </w:rPr>
              <w:t>6770.0</w:t>
            </w:r>
          </w:p>
        </w:tc>
        <w:tc>
          <w:tcPr>
            <w:tcW w:w="2801" w:type="dxa"/>
            <w:noWrap w:val="0"/>
            <w:vAlign w:val="center"/>
          </w:tcPr>
          <w:p>
            <w:pPr>
              <w:spacing w:line="360" w:lineRule="auto"/>
              <w:jc w:val="center"/>
              <w:rPr>
                <w:rFonts w:hint="eastAsia"/>
                <w:sz w:val="24"/>
                <w:szCs w:val="24"/>
              </w:rPr>
            </w:pPr>
            <w:r>
              <w:rPr>
                <w:rFonts w:hint="eastAsia"/>
                <w:sz w:val="24"/>
                <w:szCs w:val="24"/>
              </w:rPr>
              <w:t>5640.0</w:t>
            </w:r>
          </w:p>
        </w:tc>
      </w:tr>
    </w:tbl>
    <w:p>
      <w:pPr>
        <w:spacing w:line="360" w:lineRule="auto"/>
        <w:ind w:firstLine="480" w:firstLineChars="200"/>
        <w:rPr>
          <w:rFonts w:hint="eastAsia"/>
          <w:sz w:val="24"/>
        </w:rPr>
      </w:pPr>
      <w:r>
        <w:rPr>
          <w:rFonts w:hint="eastAsia"/>
          <w:sz w:val="24"/>
        </w:rPr>
        <w:t>从工程质量可靠方面来讲，95%年来水量及复蓄后水量取小值更合理，通过</w:t>
      </w:r>
      <w:r>
        <w:rPr>
          <w:rFonts w:hint="eastAsia"/>
          <w:sz w:val="24"/>
          <w:lang w:val="en-US" w:eastAsia="zh-CN"/>
        </w:rPr>
        <w:t>上表</w:t>
      </w:r>
      <w:r>
        <w:rPr>
          <w:rFonts w:hint="eastAsia"/>
          <w:sz w:val="24"/>
        </w:rPr>
        <w:t>比较可得邹桥水厂水源可供水量为5640万m</w:t>
      </w:r>
      <w:r>
        <w:rPr>
          <w:rFonts w:hint="eastAsia"/>
          <w:sz w:val="24"/>
          <w:vertAlign w:val="superscript"/>
        </w:rPr>
        <w:t>3</w:t>
      </w:r>
      <w:r>
        <w:rPr>
          <w:rFonts w:hint="eastAsia"/>
          <w:sz w:val="24"/>
        </w:rPr>
        <w:t>，满足设计要求。</w:t>
      </w:r>
    </w:p>
    <w:p>
      <w:pPr>
        <w:numPr>
          <w:ilvl w:val="0"/>
          <w:numId w:val="7"/>
        </w:numPr>
        <w:spacing w:line="360" w:lineRule="auto"/>
        <w:ind w:firstLine="480" w:firstLineChars="200"/>
        <w:rPr>
          <w:rFonts w:hint="eastAsia"/>
          <w:sz w:val="24"/>
        </w:rPr>
      </w:pPr>
      <w:r>
        <w:rPr>
          <w:rFonts w:hint="eastAsia"/>
          <w:sz w:val="24"/>
        </w:rPr>
        <w:t>车桥自来水工程</w:t>
      </w:r>
    </w:p>
    <w:p>
      <w:pPr>
        <w:spacing w:line="360" w:lineRule="auto"/>
        <w:ind w:firstLine="360" w:firstLineChars="150"/>
        <w:rPr>
          <w:rFonts w:hint="eastAsia"/>
          <w:sz w:val="24"/>
        </w:rPr>
      </w:pPr>
      <w:r>
        <w:rPr>
          <w:rFonts w:hint="eastAsia"/>
          <w:sz w:val="24"/>
        </w:rPr>
        <w:t>车桥自来水工程共1个水厂，工程总需水量为</w:t>
      </w:r>
      <w:r>
        <w:rPr>
          <w:rFonts w:hint="eastAsia" w:ascii="宋体" w:hAnsi="宋体" w:eastAsia="宋体" w:cs="宋体"/>
          <w:i w:val="0"/>
          <w:color w:val="000000"/>
          <w:kern w:val="0"/>
          <w:sz w:val="24"/>
          <w:szCs w:val="24"/>
          <w:u w:val="none"/>
          <w:lang w:val="en-US" w:eastAsia="zh-CN" w:bidi="ar-SA"/>
        </w:rPr>
        <w:t>91.71</w:t>
      </w:r>
      <w:r>
        <w:rPr>
          <w:rFonts w:hint="eastAsia"/>
          <w:sz w:val="24"/>
        </w:rPr>
        <w:t>万m</w:t>
      </w:r>
      <w:r>
        <w:rPr>
          <w:rFonts w:hint="eastAsia"/>
          <w:sz w:val="24"/>
          <w:vertAlign w:val="superscript"/>
        </w:rPr>
        <w:t>3</w:t>
      </w:r>
      <w:r>
        <w:rPr>
          <w:rFonts w:hint="eastAsia"/>
          <w:sz w:val="24"/>
        </w:rPr>
        <w:t>，其中包含</w:t>
      </w:r>
      <w:r>
        <w:rPr>
          <w:rFonts w:hint="eastAsia"/>
          <w:sz w:val="24"/>
          <w:lang w:val="en-US" w:eastAsia="zh-CN"/>
        </w:rPr>
        <w:t>50</w:t>
      </w:r>
      <w:r>
        <w:rPr>
          <w:rFonts w:hint="eastAsia"/>
          <w:sz w:val="24"/>
        </w:rPr>
        <w:t>万m</w:t>
      </w:r>
      <w:r>
        <w:rPr>
          <w:rFonts w:hint="eastAsia"/>
          <w:sz w:val="24"/>
          <w:vertAlign w:val="superscript"/>
        </w:rPr>
        <w:t>3</w:t>
      </w:r>
      <w:r>
        <w:rPr>
          <w:rFonts w:hint="eastAsia"/>
          <w:sz w:val="24"/>
        </w:rPr>
        <w:t>的灌溉任务。水厂的取水水源为上易水库。</w:t>
      </w:r>
      <w:r>
        <w:rPr>
          <w:rFonts w:hint="eastAsia"/>
          <w:sz w:val="24"/>
          <w:lang w:val="en-US" w:eastAsia="zh-CN"/>
        </w:rPr>
        <w:t>上易水库</w:t>
      </w:r>
      <w:r>
        <w:rPr>
          <w:rFonts w:hint="eastAsia"/>
          <w:sz w:val="24"/>
        </w:rPr>
        <w:t>的有效库容为154.97万m</w:t>
      </w:r>
      <w:r>
        <w:rPr>
          <w:rFonts w:hint="eastAsia"/>
          <w:sz w:val="24"/>
          <w:vertAlign w:val="superscript"/>
        </w:rPr>
        <w:t>3</w:t>
      </w:r>
      <w:r>
        <w:rPr>
          <w:rFonts w:hint="eastAsia"/>
          <w:sz w:val="24"/>
        </w:rPr>
        <w:t>，来水为博阳河车桥水，集雨面积为2.47 km</w:t>
      </w:r>
      <w:r>
        <w:rPr>
          <w:rFonts w:hint="eastAsia"/>
          <w:sz w:val="24"/>
          <w:vertAlign w:val="superscript"/>
        </w:rPr>
        <w:t>2</w:t>
      </w:r>
      <w:r>
        <w:rPr>
          <w:rFonts w:hint="eastAsia"/>
          <w:sz w:val="24"/>
        </w:rPr>
        <w:t>，有关水库的复蓄系数根据江西省农村自来水工程规划工作大纲的规定确定，上易水库为小型水库，取值范围为1.3-1.8，通过与40A/V比较选取正确的复蓄系数。湖塘水库取1.3。根据河道来水量河流天然来水可供水量计算（软件）可得：上易水库水源年来水量为116.0万m</w:t>
      </w:r>
      <w:r>
        <w:rPr>
          <w:rFonts w:hint="eastAsia"/>
          <w:sz w:val="24"/>
          <w:vertAlign w:val="superscript"/>
        </w:rPr>
        <w:t>3</w:t>
      </w:r>
      <w:r>
        <w:rPr>
          <w:rFonts w:hint="eastAsia"/>
          <w:sz w:val="24"/>
        </w:rPr>
        <w:t>。</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2877"/>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731" w:type="dxa"/>
            <w:noWrap w:val="0"/>
            <w:vAlign w:val="center"/>
          </w:tcPr>
          <w:p>
            <w:pPr>
              <w:spacing w:line="360" w:lineRule="auto"/>
              <w:jc w:val="center"/>
              <w:rPr>
                <w:rFonts w:hint="eastAsia"/>
                <w:sz w:val="24"/>
                <w:szCs w:val="24"/>
              </w:rPr>
            </w:pPr>
            <w:r>
              <w:rPr>
                <w:rFonts w:hint="eastAsia"/>
                <w:sz w:val="24"/>
                <w:szCs w:val="24"/>
              </w:rPr>
              <w:t>水库</w:t>
            </w:r>
          </w:p>
        </w:tc>
        <w:tc>
          <w:tcPr>
            <w:tcW w:w="2877" w:type="dxa"/>
            <w:noWrap w:val="0"/>
            <w:vAlign w:val="center"/>
          </w:tcPr>
          <w:p>
            <w:pPr>
              <w:spacing w:line="360" w:lineRule="auto"/>
              <w:jc w:val="center"/>
              <w:rPr>
                <w:rFonts w:hint="eastAsia"/>
                <w:sz w:val="24"/>
                <w:szCs w:val="24"/>
              </w:rPr>
            </w:pPr>
            <w:r>
              <w:rPr>
                <w:rFonts w:hint="eastAsia"/>
                <w:sz w:val="24"/>
                <w:szCs w:val="24"/>
              </w:rPr>
              <w:t>95%年来水量（万m3）</w:t>
            </w:r>
          </w:p>
        </w:tc>
        <w:tc>
          <w:tcPr>
            <w:tcW w:w="2807" w:type="dxa"/>
            <w:noWrap w:val="0"/>
            <w:vAlign w:val="center"/>
          </w:tcPr>
          <w:p>
            <w:pPr>
              <w:spacing w:line="360" w:lineRule="auto"/>
              <w:jc w:val="center"/>
              <w:rPr>
                <w:rFonts w:hint="eastAsia"/>
                <w:sz w:val="24"/>
                <w:szCs w:val="24"/>
              </w:rPr>
            </w:pPr>
            <w:r>
              <w:rPr>
                <w:rFonts w:hint="eastAsia"/>
                <w:sz w:val="24"/>
                <w:szCs w:val="24"/>
              </w:rPr>
              <w:t>复蓄后水量（万m3）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1" w:type="dxa"/>
            <w:noWrap w:val="0"/>
            <w:vAlign w:val="center"/>
          </w:tcPr>
          <w:p>
            <w:pPr>
              <w:spacing w:line="360" w:lineRule="auto"/>
              <w:jc w:val="center"/>
              <w:rPr>
                <w:rFonts w:hint="eastAsia"/>
                <w:sz w:val="24"/>
                <w:szCs w:val="24"/>
              </w:rPr>
            </w:pPr>
            <w:r>
              <w:rPr>
                <w:rFonts w:hint="eastAsia"/>
                <w:sz w:val="24"/>
                <w:szCs w:val="24"/>
              </w:rPr>
              <w:t>上易水库</w:t>
            </w:r>
          </w:p>
        </w:tc>
        <w:tc>
          <w:tcPr>
            <w:tcW w:w="2877" w:type="dxa"/>
            <w:noWrap w:val="0"/>
            <w:vAlign w:val="center"/>
          </w:tcPr>
          <w:p>
            <w:pPr>
              <w:spacing w:line="360" w:lineRule="auto"/>
              <w:jc w:val="center"/>
              <w:rPr>
                <w:rFonts w:hint="eastAsia"/>
                <w:sz w:val="24"/>
                <w:szCs w:val="24"/>
              </w:rPr>
            </w:pPr>
            <w:r>
              <w:rPr>
                <w:rFonts w:hint="eastAsia"/>
                <w:sz w:val="24"/>
                <w:szCs w:val="24"/>
              </w:rPr>
              <w:t>166.0</w:t>
            </w:r>
          </w:p>
        </w:tc>
        <w:tc>
          <w:tcPr>
            <w:tcW w:w="2807" w:type="dxa"/>
            <w:noWrap w:val="0"/>
            <w:vAlign w:val="center"/>
          </w:tcPr>
          <w:p>
            <w:pPr>
              <w:spacing w:line="360" w:lineRule="auto"/>
              <w:jc w:val="center"/>
              <w:rPr>
                <w:rFonts w:hint="eastAsia"/>
                <w:sz w:val="24"/>
                <w:szCs w:val="24"/>
              </w:rPr>
            </w:pPr>
            <w:r>
              <w:rPr>
                <w:rFonts w:hint="eastAsia"/>
                <w:sz w:val="24"/>
                <w:szCs w:val="24"/>
              </w:rPr>
              <w:t>201.46</w:t>
            </w:r>
          </w:p>
        </w:tc>
      </w:tr>
    </w:tbl>
    <w:p>
      <w:pPr>
        <w:spacing w:line="360" w:lineRule="auto"/>
        <w:ind w:firstLine="480" w:firstLineChars="200"/>
        <w:rPr>
          <w:rFonts w:hint="eastAsia"/>
          <w:sz w:val="24"/>
        </w:rPr>
      </w:pPr>
      <w:r>
        <w:rPr>
          <w:rFonts w:hint="eastAsia"/>
          <w:sz w:val="24"/>
        </w:rPr>
        <w:t>从工程质量可靠方面来讲，95%年来水量及复蓄后水量取小值更合理，通过</w:t>
      </w:r>
      <w:r>
        <w:rPr>
          <w:rFonts w:hint="eastAsia"/>
          <w:sz w:val="24"/>
          <w:lang w:val="en-US" w:eastAsia="zh-CN"/>
        </w:rPr>
        <w:t>上表</w:t>
      </w:r>
      <w:r>
        <w:rPr>
          <w:rFonts w:hint="eastAsia"/>
          <w:sz w:val="24"/>
        </w:rPr>
        <w:t>比较可得车桥水厂水源可供水量为166万m</w:t>
      </w:r>
      <w:r>
        <w:rPr>
          <w:rFonts w:hint="eastAsia"/>
          <w:sz w:val="24"/>
          <w:vertAlign w:val="superscript"/>
        </w:rPr>
        <w:t>3</w:t>
      </w:r>
      <w:r>
        <w:rPr>
          <w:rFonts w:hint="eastAsia"/>
          <w:sz w:val="24"/>
        </w:rPr>
        <w:t>，满足设计要求。</w:t>
      </w:r>
    </w:p>
    <w:p>
      <w:pPr>
        <w:numPr>
          <w:ilvl w:val="0"/>
          <w:numId w:val="7"/>
        </w:numPr>
        <w:spacing w:line="360" w:lineRule="auto"/>
        <w:ind w:firstLine="480" w:firstLineChars="200"/>
        <w:rPr>
          <w:rFonts w:hint="eastAsia"/>
          <w:sz w:val="24"/>
        </w:rPr>
      </w:pPr>
      <w:r>
        <w:rPr>
          <w:rFonts w:hint="eastAsia"/>
          <w:sz w:val="24"/>
          <w:lang w:val="en-US" w:eastAsia="zh-CN"/>
        </w:rPr>
        <w:t>红桥</w:t>
      </w:r>
      <w:r>
        <w:rPr>
          <w:rFonts w:hint="eastAsia"/>
          <w:sz w:val="24"/>
        </w:rPr>
        <w:t>自来水工程</w:t>
      </w:r>
    </w:p>
    <w:p>
      <w:pPr>
        <w:spacing w:line="360" w:lineRule="auto"/>
        <w:ind w:firstLine="360" w:firstLineChars="150"/>
        <w:rPr>
          <w:rFonts w:hint="eastAsia"/>
          <w:sz w:val="24"/>
        </w:rPr>
      </w:pPr>
      <w:r>
        <w:rPr>
          <w:rFonts w:hint="eastAsia"/>
          <w:sz w:val="24"/>
        </w:rPr>
        <w:t>红桥水厂的取水水源为红桥水库，自来水厂年总需水量为</w:t>
      </w:r>
      <w:r>
        <w:rPr>
          <w:rFonts w:hint="eastAsia" w:ascii="宋体" w:hAnsi="宋体" w:eastAsia="宋体" w:cs="宋体"/>
          <w:i w:val="0"/>
          <w:color w:val="000000"/>
          <w:kern w:val="0"/>
          <w:sz w:val="24"/>
          <w:szCs w:val="24"/>
          <w:u w:val="none"/>
          <w:lang w:val="en-US" w:eastAsia="zh-CN" w:bidi="ar-SA"/>
        </w:rPr>
        <w:t>375.61</w:t>
      </w:r>
      <w:r>
        <w:rPr>
          <w:rFonts w:hint="eastAsia"/>
          <w:sz w:val="24"/>
        </w:rPr>
        <w:t>万m</w:t>
      </w:r>
      <w:r>
        <w:rPr>
          <w:rFonts w:hint="eastAsia"/>
          <w:sz w:val="24"/>
          <w:vertAlign w:val="superscript"/>
        </w:rPr>
        <w:t>3</w:t>
      </w:r>
      <w:r>
        <w:rPr>
          <w:rFonts w:hint="eastAsia"/>
          <w:sz w:val="24"/>
        </w:rPr>
        <w:t>，其中包含300万m</w:t>
      </w:r>
      <w:r>
        <w:rPr>
          <w:rFonts w:hint="eastAsia"/>
          <w:sz w:val="24"/>
          <w:vertAlign w:val="superscript"/>
        </w:rPr>
        <w:t>3</w:t>
      </w:r>
      <w:r>
        <w:rPr>
          <w:rFonts w:hint="eastAsia"/>
          <w:sz w:val="24"/>
        </w:rPr>
        <w:t>的灌溉任务。红桥水库的有效库容为337.3万m</w:t>
      </w:r>
      <w:r>
        <w:rPr>
          <w:rFonts w:hint="eastAsia"/>
          <w:sz w:val="24"/>
          <w:vertAlign w:val="superscript"/>
        </w:rPr>
        <w:t>3</w:t>
      </w:r>
      <w:r>
        <w:rPr>
          <w:rFonts w:hint="eastAsia"/>
          <w:sz w:val="24"/>
        </w:rPr>
        <w:t>，来水为博阳河田家河，集雨面积为11.75 km</w:t>
      </w:r>
      <w:r>
        <w:rPr>
          <w:rFonts w:hint="eastAsia"/>
          <w:sz w:val="24"/>
          <w:vertAlign w:val="superscript"/>
        </w:rPr>
        <w:t>2</w:t>
      </w:r>
      <w:r>
        <w:rPr>
          <w:rFonts w:hint="eastAsia"/>
          <w:sz w:val="24"/>
        </w:rPr>
        <w:t>，有关水库的复蓄系数根据江西省农村自来水工程规划工作大纲的规定确定，红桥水库为小型水库，取值范围为1.3-1.8，通过与40A/V比较选取正确的复蓄系数。红桥水库取1.4。根据河道来水量河流天然来水可供水量计算（软件）可得：红桥水库水源年来水量为552.0万m</w:t>
      </w:r>
      <w:r>
        <w:rPr>
          <w:rFonts w:hint="eastAsia"/>
          <w:sz w:val="24"/>
          <w:vertAlign w:val="superscript"/>
        </w:rPr>
        <w:t>3</w:t>
      </w:r>
      <w:r>
        <w:rPr>
          <w:rFonts w:hint="eastAsia"/>
          <w:sz w:val="24"/>
        </w:rPr>
        <w:t>。</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2877"/>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731" w:type="dxa"/>
            <w:noWrap w:val="0"/>
            <w:vAlign w:val="center"/>
          </w:tcPr>
          <w:p>
            <w:pPr>
              <w:spacing w:line="360" w:lineRule="auto"/>
              <w:jc w:val="center"/>
              <w:rPr>
                <w:rFonts w:hint="eastAsia"/>
                <w:sz w:val="24"/>
                <w:szCs w:val="24"/>
              </w:rPr>
            </w:pPr>
            <w:r>
              <w:rPr>
                <w:rFonts w:hint="eastAsia"/>
                <w:sz w:val="24"/>
                <w:szCs w:val="24"/>
              </w:rPr>
              <w:t>水库</w:t>
            </w:r>
          </w:p>
        </w:tc>
        <w:tc>
          <w:tcPr>
            <w:tcW w:w="2877" w:type="dxa"/>
            <w:noWrap w:val="0"/>
            <w:vAlign w:val="center"/>
          </w:tcPr>
          <w:p>
            <w:pPr>
              <w:spacing w:line="360" w:lineRule="auto"/>
              <w:jc w:val="center"/>
              <w:rPr>
                <w:rFonts w:hint="eastAsia"/>
                <w:sz w:val="24"/>
                <w:szCs w:val="24"/>
              </w:rPr>
            </w:pPr>
            <w:r>
              <w:rPr>
                <w:rFonts w:hint="eastAsia"/>
                <w:sz w:val="24"/>
                <w:szCs w:val="24"/>
              </w:rPr>
              <w:t>95%年来水量（万m3）</w:t>
            </w:r>
          </w:p>
        </w:tc>
        <w:tc>
          <w:tcPr>
            <w:tcW w:w="2807" w:type="dxa"/>
            <w:noWrap w:val="0"/>
            <w:vAlign w:val="center"/>
          </w:tcPr>
          <w:p>
            <w:pPr>
              <w:spacing w:line="360" w:lineRule="auto"/>
              <w:jc w:val="center"/>
              <w:rPr>
                <w:rFonts w:hint="eastAsia"/>
                <w:sz w:val="24"/>
                <w:szCs w:val="24"/>
              </w:rPr>
            </w:pPr>
            <w:r>
              <w:rPr>
                <w:rFonts w:hint="eastAsia"/>
                <w:sz w:val="24"/>
                <w:szCs w:val="24"/>
              </w:rPr>
              <w:t>复蓄后水量（万m3）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31" w:type="dxa"/>
            <w:noWrap w:val="0"/>
            <w:vAlign w:val="center"/>
          </w:tcPr>
          <w:p>
            <w:pPr>
              <w:spacing w:line="360" w:lineRule="auto"/>
              <w:jc w:val="center"/>
              <w:rPr>
                <w:rFonts w:hint="eastAsia"/>
                <w:sz w:val="24"/>
                <w:szCs w:val="24"/>
              </w:rPr>
            </w:pPr>
            <w:r>
              <w:rPr>
                <w:rFonts w:hint="eastAsia"/>
                <w:sz w:val="24"/>
                <w:szCs w:val="24"/>
              </w:rPr>
              <w:t>红桥水库</w:t>
            </w:r>
          </w:p>
        </w:tc>
        <w:tc>
          <w:tcPr>
            <w:tcW w:w="2877" w:type="dxa"/>
            <w:noWrap w:val="0"/>
            <w:vAlign w:val="center"/>
          </w:tcPr>
          <w:p>
            <w:pPr>
              <w:spacing w:line="360" w:lineRule="auto"/>
              <w:jc w:val="center"/>
              <w:rPr>
                <w:rFonts w:hint="eastAsia"/>
                <w:sz w:val="24"/>
                <w:szCs w:val="24"/>
              </w:rPr>
            </w:pPr>
            <w:r>
              <w:rPr>
                <w:rFonts w:hint="eastAsia"/>
                <w:sz w:val="24"/>
                <w:szCs w:val="24"/>
              </w:rPr>
              <w:t>552.0</w:t>
            </w:r>
          </w:p>
        </w:tc>
        <w:tc>
          <w:tcPr>
            <w:tcW w:w="2807" w:type="dxa"/>
            <w:noWrap w:val="0"/>
            <w:vAlign w:val="center"/>
          </w:tcPr>
          <w:p>
            <w:pPr>
              <w:spacing w:line="360" w:lineRule="auto"/>
              <w:jc w:val="center"/>
              <w:rPr>
                <w:rFonts w:hint="eastAsia"/>
                <w:sz w:val="24"/>
                <w:szCs w:val="24"/>
              </w:rPr>
            </w:pPr>
            <w:r>
              <w:rPr>
                <w:rFonts w:hint="eastAsia"/>
                <w:sz w:val="24"/>
                <w:szCs w:val="24"/>
              </w:rPr>
              <w:t>472.22</w:t>
            </w:r>
          </w:p>
        </w:tc>
      </w:tr>
    </w:tbl>
    <w:p>
      <w:pPr>
        <w:spacing w:line="360" w:lineRule="auto"/>
        <w:ind w:firstLine="480" w:firstLineChars="200"/>
        <w:rPr>
          <w:rFonts w:hint="eastAsia"/>
          <w:sz w:val="24"/>
        </w:rPr>
      </w:pPr>
      <w:r>
        <w:rPr>
          <w:rFonts w:hint="eastAsia"/>
          <w:sz w:val="24"/>
        </w:rPr>
        <w:t>从工程质量可靠方面来讲，95%年来水量及复蓄后水量取小值更合理，通过</w:t>
      </w:r>
      <w:r>
        <w:rPr>
          <w:rFonts w:hint="eastAsia"/>
          <w:sz w:val="24"/>
          <w:lang w:val="en-US" w:eastAsia="zh-CN"/>
        </w:rPr>
        <w:t>上表</w:t>
      </w:r>
      <w:r>
        <w:rPr>
          <w:rFonts w:hint="eastAsia"/>
          <w:sz w:val="24"/>
        </w:rPr>
        <w:t>比较可得红桥水厂水源可供水量为472.22万m</w:t>
      </w:r>
      <w:r>
        <w:rPr>
          <w:rFonts w:hint="eastAsia"/>
          <w:sz w:val="24"/>
          <w:vertAlign w:val="superscript"/>
        </w:rPr>
        <w:t>3</w:t>
      </w:r>
      <w:r>
        <w:rPr>
          <w:rFonts w:hint="eastAsia"/>
          <w:sz w:val="24"/>
        </w:rPr>
        <w:t>，满足设计要求。</w:t>
      </w:r>
    </w:p>
    <w:p>
      <w:pPr>
        <w:numPr>
          <w:ilvl w:val="0"/>
          <w:numId w:val="7"/>
        </w:numPr>
        <w:spacing w:line="360" w:lineRule="auto"/>
        <w:ind w:firstLine="480" w:firstLineChars="200"/>
        <w:rPr>
          <w:rFonts w:hint="eastAsia"/>
          <w:sz w:val="24"/>
        </w:rPr>
      </w:pPr>
      <w:r>
        <w:rPr>
          <w:rFonts w:hint="eastAsia"/>
          <w:sz w:val="24"/>
        </w:rPr>
        <w:t>塘山自来水工程</w:t>
      </w:r>
    </w:p>
    <w:p>
      <w:pPr>
        <w:spacing w:line="360" w:lineRule="auto"/>
        <w:ind w:firstLine="360" w:firstLineChars="150"/>
        <w:rPr>
          <w:rFonts w:hint="eastAsia"/>
          <w:sz w:val="24"/>
        </w:rPr>
      </w:pPr>
      <w:r>
        <w:rPr>
          <w:rFonts w:hint="eastAsia"/>
          <w:sz w:val="24"/>
        </w:rPr>
        <w:t>塘山自来水工程共1个水厂，工程总需水量为</w:t>
      </w:r>
      <w:r>
        <w:rPr>
          <w:rFonts w:hint="eastAsia" w:ascii="宋体" w:hAnsi="宋体" w:eastAsia="宋体" w:cs="宋体"/>
          <w:i w:val="0"/>
          <w:color w:val="000000"/>
          <w:kern w:val="0"/>
          <w:sz w:val="24"/>
          <w:szCs w:val="24"/>
          <w:u w:val="none"/>
          <w:lang w:val="en-US" w:eastAsia="zh-CN" w:bidi="ar-SA"/>
        </w:rPr>
        <w:t>26.07</w:t>
      </w:r>
      <w:r>
        <w:rPr>
          <w:rFonts w:hint="eastAsia"/>
          <w:sz w:val="24"/>
        </w:rPr>
        <w:t>万m</w:t>
      </w:r>
      <w:r>
        <w:rPr>
          <w:rFonts w:hint="eastAsia"/>
          <w:sz w:val="24"/>
          <w:vertAlign w:val="superscript"/>
        </w:rPr>
        <w:t>3</w:t>
      </w:r>
      <w:r>
        <w:rPr>
          <w:rFonts w:hint="eastAsia"/>
          <w:sz w:val="24"/>
        </w:rPr>
        <w:t>，水厂的取水水源为地下水。由于塘山没有地表水，只有一条地下暗河，且没有水文资料，根据当地人确认及县里调查，该地下暗河的贮水量可以满足设计需水要求。工程在进行下一步实施前需进行抽水试验，在满足供水要求后方可实施。</w:t>
      </w:r>
    </w:p>
    <w:p>
      <w:pPr>
        <w:numPr>
          <w:ilvl w:val="0"/>
          <w:numId w:val="7"/>
        </w:numPr>
        <w:spacing w:line="360" w:lineRule="auto"/>
        <w:ind w:firstLine="480" w:firstLineChars="200"/>
        <w:rPr>
          <w:rFonts w:hint="eastAsia"/>
          <w:sz w:val="24"/>
        </w:rPr>
      </w:pPr>
      <w:r>
        <w:rPr>
          <w:rFonts w:hint="eastAsia"/>
          <w:sz w:val="24"/>
        </w:rPr>
        <w:t>磨溪自来水工程</w:t>
      </w:r>
    </w:p>
    <w:p>
      <w:pPr>
        <w:spacing w:line="360" w:lineRule="auto"/>
        <w:ind w:firstLine="360" w:firstLineChars="150"/>
        <w:rPr>
          <w:rFonts w:hint="eastAsia"/>
          <w:sz w:val="24"/>
        </w:rPr>
      </w:pPr>
      <w:r>
        <w:rPr>
          <w:rFonts w:hint="eastAsia"/>
          <w:sz w:val="24"/>
        </w:rPr>
        <w:t>磨溪自来水工程共1个水厂，工程总需水量为</w:t>
      </w:r>
      <w:r>
        <w:rPr>
          <w:rFonts w:hint="eastAsia" w:ascii="宋体" w:hAnsi="宋体" w:eastAsia="宋体" w:cs="宋体"/>
          <w:i w:val="0"/>
          <w:color w:val="000000"/>
          <w:kern w:val="0"/>
          <w:sz w:val="24"/>
          <w:szCs w:val="24"/>
          <w:u w:val="none"/>
          <w:lang w:val="en-US" w:eastAsia="zh-CN" w:bidi="ar-SA"/>
        </w:rPr>
        <w:t>339.11</w:t>
      </w:r>
      <w:r>
        <w:rPr>
          <w:rFonts w:hint="eastAsia"/>
          <w:sz w:val="24"/>
        </w:rPr>
        <w:t>万m</w:t>
      </w:r>
      <w:r>
        <w:rPr>
          <w:rFonts w:hint="eastAsia"/>
          <w:sz w:val="24"/>
          <w:vertAlign w:val="superscript"/>
        </w:rPr>
        <w:t>3</w:t>
      </w:r>
      <w:r>
        <w:rPr>
          <w:rFonts w:hint="eastAsia"/>
          <w:sz w:val="24"/>
        </w:rPr>
        <w:t>，其中包含300万m</w:t>
      </w:r>
      <w:r>
        <w:rPr>
          <w:rFonts w:hint="eastAsia"/>
          <w:sz w:val="24"/>
          <w:vertAlign w:val="superscript"/>
        </w:rPr>
        <w:t>3</w:t>
      </w:r>
      <w:r>
        <w:rPr>
          <w:rFonts w:hint="eastAsia"/>
          <w:sz w:val="24"/>
        </w:rPr>
        <w:t>的灌溉任务。水厂的取水水源为新田水库。新田水库的有效库容为769万m</w:t>
      </w:r>
      <w:r>
        <w:rPr>
          <w:rFonts w:hint="eastAsia"/>
          <w:sz w:val="24"/>
          <w:vertAlign w:val="superscript"/>
        </w:rPr>
        <w:t>3</w:t>
      </w:r>
      <w:r>
        <w:rPr>
          <w:rFonts w:hint="eastAsia"/>
          <w:sz w:val="24"/>
        </w:rPr>
        <w:t>，来水为博阳河港口支流，集雨面积为9 km</w:t>
      </w:r>
      <w:r>
        <w:rPr>
          <w:rFonts w:hint="eastAsia"/>
          <w:sz w:val="24"/>
          <w:vertAlign w:val="superscript"/>
        </w:rPr>
        <w:t>2</w:t>
      </w:r>
      <w:r>
        <w:rPr>
          <w:rFonts w:hint="eastAsia"/>
          <w:sz w:val="24"/>
        </w:rPr>
        <w:t>，有关水库的复蓄系数根据江西省农村自来水工程规划工作大纲的规定确定，新田水库为小型水库，取值范围为1.3-1.8，通过与40A/V比较选取正确的复蓄系数。新田水库取1.3。根据河道来水量河流天然来水可供水量计算（软件）可得：新田水库水源年来水量为423万m</w:t>
      </w:r>
      <w:r>
        <w:rPr>
          <w:rFonts w:hint="eastAsia"/>
          <w:sz w:val="24"/>
          <w:vertAlign w:val="superscript"/>
        </w:rPr>
        <w:t>3</w:t>
      </w:r>
      <w:r>
        <w:rPr>
          <w:rFonts w:hint="eastAsia"/>
          <w:sz w:val="24"/>
        </w:rPr>
        <w:t>。</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884"/>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739" w:type="dxa"/>
            <w:noWrap w:val="0"/>
            <w:vAlign w:val="center"/>
          </w:tcPr>
          <w:p>
            <w:pPr>
              <w:spacing w:line="360" w:lineRule="auto"/>
              <w:jc w:val="center"/>
              <w:rPr>
                <w:rFonts w:hint="eastAsia"/>
                <w:sz w:val="24"/>
                <w:szCs w:val="24"/>
              </w:rPr>
            </w:pPr>
            <w:r>
              <w:rPr>
                <w:rFonts w:hint="eastAsia"/>
                <w:sz w:val="24"/>
                <w:szCs w:val="24"/>
              </w:rPr>
              <w:t>水库</w:t>
            </w:r>
          </w:p>
        </w:tc>
        <w:tc>
          <w:tcPr>
            <w:tcW w:w="2884" w:type="dxa"/>
            <w:noWrap w:val="0"/>
            <w:vAlign w:val="center"/>
          </w:tcPr>
          <w:p>
            <w:pPr>
              <w:spacing w:line="360" w:lineRule="auto"/>
              <w:jc w:val="center"/>
              <w:rPr>
                <w:rFonts w:hint="eastAsia"/>
                <w:sz w:val="24"/>
                <w:szCs w:val="24"/>
              </w:rPr>
            </w:pPr>
            <w:r>
              <w:rPr>
                <w:rFonts w:hint="eastAsia"/>
                <w:sz w:val="24"/>
                <w:szCs w:val="24"/>
              </w:rPr>
              <w:t>95%年来水量（万m3）</w:t>
            </w:r>
          </w:p>
        </w:tc>
        <w:tc>
          <w:tcPr>
            <w:tcW w:w="2792" w:type="dxa"/>
            <w:noWrap w:val="0"/>
            <w:vAlign w:val="center"/>
          </w:tcPr>
          <w:p>
            <w:pPr>
              <w:spacing w:line="360" w:lineRule="auto"/>
              <w:jc w:val="center"/>
              <w:rPr>
                <w:rFonts w:hint="eastAsia"/>
                <w:sz w:val="24"/>
                <w:szCs w:val="24"/>
              </w:rPr>
            </w:pPr>
            <w:r>
              <w:rPr>
                <w:rFonts w:hint="eastAsia"/>
                <w:sz w:val="24"/>
                <w:szCs w:val="24"/>
              </w:rPr>
              <w:t>复蓄后水量（万m3）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noWrap w:val="0"/>
            <w:vAlign w:val="center"/>
          </w:tcPr>
          <w:p>
            <w:pPr>
              <w:spacing w:line="360" w:lineRule="auto"/>
              <w:jc w:val="center"/>
              <w:rPr>
                <w:rFonts w:hint="eastAsia"/>
                <w:sz w:val="24"/>
                <w:szCs w:val="24"/>
              </w:rPr>
            </w:pPr>
            <w:r>
              <w:rPr>
                <w:rFonts w:hint="eastAsia"/>
                <w:sz w:val="24"/>
                <w:szCs w:val="24"/>
              </w:rPr>
              <w:t>新田水库</w:t>
            </w:r>
          </w:p>
        </w:tc>
        <w:tc>
          <w:tcPr>
            <w:tcW w:w="2884" w:type="dxa"/>
            <w:noWrap w:val="0"/>
            <w:vAlign w:val="center"/>
          </w:tcPr>
          <w:p>
            <w:pPr>
              <w:spacing w:line="360" w:lineRule="auto"/>
              <w:jc w:val="center"/>
              <w:rPr>
                <w:rFonts w:hint="eastAsia"/>
                <w:sz w:val="24"/>
                <w:szCs w:val="24"/>
              </w:rPr>
            </w:pPr>
            <w:r>
              <w:rPr>
                <w:rFonts w:hint="eastAsia"/>
                <w:sz w:val="24"/>
                <w:szCs w:val="24"/>
              </w:rPr>
              <w:t>423.0</w:t>
            </w:r>
          </w:p>
        </w:tc>
        <w:tc>
          <w:tcPr>
            <w:tcW w:w="2792" w:type="dxa"/>
            <w:noWrap w:val="0"/>
            <w:vAlign w:val="center"/>
          </w:tcPr>
          <w:p>
            <w:pPr>
              <w:spacing w:line="360" w:lineRule="auto"/>
              <w:jc w:val="center"/>
              <w:rPr>
                <w:rFonts w:hint="eastAsia"/>
                <w:sz w:val="24"/>
                <w:szCs w:val="24"/>
              </w:rPr>
            </w:pPr>
            <w:r>
              <w:rPr>
                <w:rFonts w:hint="eastAsia"/>
                <w:sz w:val="24"/>
                <w:szCs w:val="24"/>
              </w:rPr>
              <w:t>999.7</w:t>
            </w:r>
          </w:p>
        </w:tc>
      </w:tr>
    </w:tbl>
    <w:p>
      <w:pPr>
        <w:spacing w:line="360" w:lineRule="auto"/>
        <w:ind w:firstLine="360" w:firstLineChars="150"/>
        <w:rPr>
          <w:rFonts w:hint="eastAsia"/>
          <w:lang w:val="en-US" w:eastAsia="zh-CN"/>
        </w:rPr>
        <w:sectPr>
          <w:pgSz w:w="11907" w:h="16840"/>
          <w:pgMar w:top="1440" w:right="1800" w:bottom="1440" w:left="1800" w:header="851" w:footer="992" w:gutter="0"/>
          <w:pgNumType w:fmt="decimal"/>
          <w:cols w:space="720" w:num="1"/>
          <w:docGrid w:linePitch="381" w:charSpace="0"/>
        </w:sectPr>
      </w:pPr>
      <w:r>
        <w:rPr>
          <w:rFonts w:hint="eastAsia"/>
          <w:sz w:val="24"/>
        </w:rPr>
        <w:t>从工程质量可靠方面来讲，95%年来水量及复蓄后水量取小值更合理，通过</w:t>
      </w:r>
      <w:r>
        <w:rPr>
          <w:rFonts w:hint="eastAsia"/>
          <w:sz w:val="24"/>
          <w:lang w:val="en-US" w:eastAsia="zh-CN"/>
        </w:rPr>
        <w:t>上表</w:t>
      </w:r>
      <w:r>
        <w:rPr>
          <w:rFonts w:hint="eastAsia"/>
          <w:sz w:val="24"/>
        </w:rPr>
        <w:t>比较可得磨溪水厂水源可供水量为423万m</w:t>
      </w:r>
      <w:r>
        <w:rPr>
          <w:rFonts w:hint="eastAsia"/>
          <w:sz w:val="24"/>
          <w:vertAlign w:val="superscript"/>
        </w:rPr>
        <w:t>3</w:t>
      </w:r>
      <w:r>
        <w:rPr>
          <w:rFonts w:hint="eastAsia"/>
          <w:sz w:val="24"/>
        </w:rPr>
        <w:t>，满足设计要求。</w:t>
      </w:r>
    </w:p>
    <w:p>
      <w:pPr>
        <w:pStyle w:val="6"/>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textAlignment w:val="auto"/>
        <w:rPr>
          <w:rFonts w:hint="eastAsia"/>
          <w:sz w:val="24"/>
          <w:szCs w:val="24"/>
          <w:lang w:val="en-US" w:eastAsia="zh-CN"/>
        </w:rPr>
      </w:pPr>
      <w:r>
        <w:rPr>
          <w:rFonts w:hint="eastAsia"/>
          <w:sz w:val="24"/>
          <w:szCs w:val="24"/>
          <w:lang w:val="en-US" w:eastAsia="zh-CN"/>
        </w:rPr>
        <w:t>供水工程水源供水平衡分析</w:t>
      </w:r>
    </w:p>
    <w:p>
      <w:pPr>
        <w:adjustRightInd w:val="0"/>
        <w:snapToGrid w:val="0"/>
        <w:spacing w:line="360" w:lineRule="auto"/>
        <w:ind w:firstLine="446" w:firstLineChars="18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依据有关规范的要求，确定全县各水厂供水保证率为95%。</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83"/>
        <w:gridCol w:w="1454"/>
        <w:gridCol w:w="1049"/>
        <w:gridCol w:w="1224"/>
        <w:gridCol w:w="1050"/>
        <w:gridCol w:w="992"/>
        <w:gridCol w:w="985"/>
        <w:gridCol w:w="983"/>
        <w:gridCol w:w="986"/>
        <w:gridCol w:w="984"/>
        <w:gridCol w:w="984"/>
        <w:gridCol w:w="986"/>
        <w:gridCol w:w="1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0" w:hRule="atLeast"/>
        </w:trPr>
        <w:tc>
          <w:tcPr>
            <w:tcW w:w="13990" w:type="dxa"/>
            <w:gridSpan w:val="13"/>
            <w:noWrap w:val="0"/>
            <w:vAlign w:val="center"/>
          </w:tcPr>
          <w:p>
            <w:pPr>
              <w:keepNext w:val="0"/>
              <w:keepLines w:val="0"/>
              <w:widowControl/>
              <w:suppressLineNumbers w:val="0"/>
              <w:spacing w:line="360" w:lineRule="auto"/>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德安县自来水工程水源可供水量分析成果表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3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序号</w:t>
            </w:r>
          </w:p>
        </w:tc>
        <w:tc>
          <w:tcPr>
            <w:tcW w:w="145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工程名称</w:t>
            </w:r>
          </w:p>
        </w:tc>
        <w:tc>
          <w:tcPr>
            <w:tcW w:w="10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水源名称</w:t>
            </w:r>
          </w:p>
        </w:tc>
        <w:tc>
          <w:tcPr>
            <w:tcW w:w="12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所在河流</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集雨面积(km</w:t>
            </w:r>
            <w:r>
              <w:rPr>
                <w:rFonts w:hint="eastAsia" w:ascii="宋体" w:hAnsi="宋体" w:eastAsia="宋体" w:cs="宋体"/>
                <w:i w:val="0"/>
                <w:color w:val="000000"/>
                <w:kern w:val="0"/>
                <w:sz w:val="24"/>
                <w:szCs w:val="24"/>
                <w:u w:val="none"/>
                <w:vertAlign w:val="superscript"/>
                <w:lang w:val="en-US" w:eastAsia="zh-CN" w:bidi="ar-SA"/>
              </w:rPr>
              <w:t>2</w:t>
            </w:r>
            <w:r>
              <w:rPr>
                <w:rFonts w:hint="eastAsia" w:ascii="宋体" w:hAnsi="宋体" w:eastAsia="宋体" w:cs="宋体"/>
                <w:i w:val="0"/>
                <w:color w:val="000000"/>
                <w:kern w:val="0"/>
                <w:sz w:val="24"/>
                <w:szCs w:val="24"/>
                <w:u w:val="none"/>
                <w:lang w:val="en-US" w:eastAsia="zh-CN" w:bidi="ar-SA"/>
              </w:rPr>
              <w:t>)</w:t>
            </w:r>
          </w:p>
        </w:tc>
        <w:tc>
          <w:tcPr>
            <w:tcW w:w="99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kern w:val="0"/>
                <w:sz w:val="24"/>
                <w:szCs w:val="24"/>
                <w:u w:val="none"/>
                <w:lang w:val="en-US" w:eastAsia="zh-CN" w:bidi="ar-SA"/>
              </w:rPr>
            </w:pPr>
            <w:r>
              <w:rPr>
                <w:rFonts w:hint="eastAsia" w:ascii="宋体" w:hAnsi="宋体" w:eastAsia="宋体" w:cs="宋体"/>
                <w:i w:val="0"/>
                <w:color w:val="000000"/>
                <w:kern w:val="0"/>
                <w:sz w:val="24"/>
                <w:szCs w:val="24"/>
                <w:u w:val="none"/>
                <w:lang w:val="en-US" w:eastAsia="zh-CN" w:bidi="ar-SA"/>
              </w:rPr>
              <w:t>年来水量P=95%</w:t>
            </w:r>
          </w:p>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（万m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w:t>
            </w:r>
          </w:p>
        </w:tc>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kern w:val="0"/>
                <w:sz w:val="24"/>
                <w:szCs w:val="24"/>
                <w:u w:val="none"/>
                <w:lang w:val="en-US" w:eastAsia="zh-CN" w:bidi="ar-SA"/>
              </w:rPr>
            </w:pPr>
            <w:r>
              <w:rPr>
                <w:rFonts w:hint="eastAsia" w:ascii="宋体" w:hAnsi="宋体" w:eastAsia="宋体" w:cs="宋体"/>
                <w:i w:val="0"/>
                <w:color w:val="000000"/>
                <w:kern w:val="0"/>
                <w:sz w:val="24"/>
                <w:szCs w:val="24"/>
                <w:u w:val="none"/>
                <w:lang w:val="en-US" w:eastAsia="zh-CN" w:bidi="ar-SA"/>
              </w:rPr>
              <w:t>水库有效库容</w:t>
            </w:r>
          </w:p>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(万m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w:t>
            </w:r>
          </w:p>
        </w:tc>
        <w:tc>
          <w:tcPr>
            <w:tcW w:w="19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水源现有供水任务</w:t>
            </w:r>
          </w:p>
        </w:tc>
        <w:tc>
          <w:tcPr>
            <w:tcW w:w="9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kern w:val="0"/>
                <w:sz w:val="24"/>
                <w:szCs w:val="24"/>
                <w:u w:val="none"/>
                <w:lang w:val="en-US" w:eastAsia="zh-CN" w:bidi="ar-SA"/>
              </w:rPr>
            </w:pPr>
            <w:r>
              <w:rPr>
                <w:rFonts w:hint="eastAsia" w:ascii="宋体" w:hAnsi="宋体" w:eastAsia="宋体" w:cs="宋体"/>
                <w:i w:val="0"/>
                <w:color w:val="000000"/>
                <w:kern w:val="0"/>
                <w:sz w:val="24"/>
                <w:szCs w:val="24"/>
                <w:u w:val="none"/>
                <w:lang w:val="en-US" w:eastAsia="zh-CN" w:bidi="ar-SA"/>
              </w:rPr>
              <w:t>自来水工程总需水量</w:t>
            </w:r>
          </w:p>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(万m3)</w:t>
            </w:r>
          </w:p>
        </w:tc>
        <w:tc>
          <w:tcPr>
            <w:tcW w:w="9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水源各用水户总需水量(万m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w:t>
            </w:r>
          </w:p>
        </w:tc>
        <w:tc>
          <w:tcPr>
            <w:tcW w:w="986" w:type="dxa"/>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水源可供水量(万m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w:t>
            </w:r>
          </w:p>
        </w:tc>
        <w:tc>
          <w:tcPr>
            <w:tcW w:w="19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5" w:hRule="atLeast"/>
        </w:trPr>
        <w:tc>
          <w:tcPr>
            <w:tcW w:w="383"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4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3"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灌溉供水(万m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w:t>
            </w:r>
          </w:p>
        </w:tc>
        <w:tc>
          <w:tcPr>
            <w:tcW w:w="986"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其它供水(万m</w:t>
            </w:r>
            <w:r>
              <w:rPr>
                <w:rFonts w:hint="eastAsia" w:ascii="宋体" w:hAnsi="宋体" w:eastAsia="宋体" w:cs="宋体"/>
                <w:i w:val="0"/>
                <w:color w:val="000000"/>
                <w:kern w:val="0"/>
                <w:sz w:val="24"/>
                <w:szCs w:val="24"/>
                <w:u w:val="none"/>
                <w:vertAlign w:val="superscript"/>
                <w:lang w:val="en-US" w:eastAsia="zh-CN" w:bidi="ar-SA"/>
              </w:rPr>
              <w:t>3</w:t>
            </w:r>
            <w:r>
              <w:rPr>
                <w:rFonts w:hint="eastAsia" w:ascii="宋体" w:hAnsi="宋体" w:eastAsia="宋体" w:cs="宋体"/>
                <w:i w:val="0"/>
                <w:color w:val="000000"/>
                <w:kern w:val="0"/>
                <w:sz w:val="24"/>
                <w:szCs w:val="24"/>
                <w:u w:val="none"/>
                <w:lang w:val="en-US" w:eastAsia="zh-CN" w:bidi="ar-SA"/>
              </w:rPr>
              <w:t>)</w:t>
            </w:r>
          </w:p>
        </w:tc>
        <w:tc>
          <w:tcPr>
            <w:tcW w:w="98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6" w:type="dxa"/>
            <w:vMerge w:val="continue"/>
            <w:tcBorders>
              <w:top w:val="single" w:color="000000" w:sz="4" w:space="0"/>
              <w:left w:val="single" w:color="000000" w:sz="4" w:space="0"/>
              <w:bottom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93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4</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5</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6</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7</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8</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9</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10</w:t>
            </w:r>
          </w:p>
        </w:tc>
        <w:tc>
          <w:tcPr>
            <w:tcW w:w="986"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11</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1</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雁家湖水厂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10189.60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1403.85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1403.85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1403.85 </w:t>
            </w:r>
          </w:p>
        </w:tc>
        <w:tc>
          <w:tcPr>
            <w:tcW w:w="193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参考水资源论证报告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5"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2</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林泉水厂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林泉水库</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20.80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998.00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995.72 </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700.00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130.36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830.36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998.00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设计灌溉面积为1.5万亩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3</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红桥水厂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红桥水库</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博阳河田家河</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11.75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552.00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337.30 </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300.00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75.61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375.61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470.53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设计灌溉面积为1.5万亩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4</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磨溪水厂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新田水库</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博阳河港口支流</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9.00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423.00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769.00 </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300.00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39.11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339.11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423.00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设计灌溉面积为1.05万亩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5"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5</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车桥水厂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上易水库</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博阳河车桥水</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2.47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116.00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154.97 </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50.00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41.71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91.71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116.00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设计灌溉面积为0.4万亩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6</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邹桥水厂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湖塘水库</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144.00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6770.00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3760.00 </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130.36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130.36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5640.00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没有灌溉任务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7</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塘山水厂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地下水</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26.07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26.07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28.75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据对当地居民的调查结果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5"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8</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彭山水厂</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博阳河</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10189.60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521.43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521.43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521.43 </w:t>
            </w:r>
          </w:p>
        </w:tc>
        <w:tc>
          <w:tcPr>
            <w:tcW w:w="1930" w:type="dxa"/>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与雁家湖水厂共用取水工程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b/>
                <w:i w:val="0"/>
                <w:color w:val="000000"/>
                <w:sz w:val="24"/>
                <w:szCs w:val="24"/>
                <w:u w:val="none"/>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SA"/>
              </w:rPr>
              <w:t>全县合计</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i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right"/>
              <w:rPr>
                <w:rFonts w:hint="eastAsia" w:ascii="宋体" w:hAnsi="宋体" w:eastAsia="宋体" w:cs="宋体"/>
                <w:i w:val="0"/>
                <w:color w:val="000000"/>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188.02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29238.20 </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6016.99 </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1350.00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0.00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2368.49 </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3718.49 </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SA"/>
              </w:rPr>
              <w:t xml:space="preserve">9601.56 </w:t>
            </w:r>
          </w:p>
        </w:tc>
        <w:tc>
          <w:tcPr>
            <w:tcW w:w="19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i w:val="0"/>
                <w:color w:val="000000"/>
                <w:sz w:val="24"/>
                <w:szCs w:val="24"/>
                <w:u w:val="none"/>
              </w:rPr>
            </w:pPr>
          </w:p>
        </w:tc>
      </w:tr>
    </w:tbl>
    <w:p>
      <w:pPr>
        <w:adjustRightInd/>
        <w:snapToGrid/>
        <w:spacing w:line="360" w:lineRule="auto"/>
        <w:ind w:firstLine="560"/>
        <w:rPr>
          <w:rFonts w:hint="eastAsia" w:ascii="宋体" w:hAnsi="宋体" w:eastAsia="宋体" w:cs="宋体"/>
          <w:sz w:val="24"/>
          <w:szCs w:val="24"/>
        </w:rPr>
        <w:sectPr>
          <w:pgSz w:w="16840" w:h="11907" w:orient="landscape"/>
          <w:pgMar w:top="1440" w:right="1800" w:bottom="1440" w:left="1800" w:header="851" w:footer="992" w:gutter="0"/>
          <w:pgNumType w:fmt="decimal"/>
          <w:cols w:space="720" w:num="1"/>
          <w:docGrid w:linePitch="381" w:charSpace="0"/>
        </w:sectPr>
      </w:pPr>
    </w:p>
    <w:p>
      <w:pPr>
        <w:keepNext/>
        <w:keepLines/>
        <w:widowControl w:val="0"/>
        <w:numPr>
          <w:ilvl w:val="2"/>
          <w:numId w:val="1"/>
        </w:numPr>
        <w:spacing w:line="360" w:lineRule="auto"/>
        <w:jc w:val="both"/>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农村供水水源需求与矛盾</w:t>
      </w:r>
    </w:p>
    <w:p>
      <w:pPr>
        <w:numPr>
          <w:ilvl w:val="0"/>
          <w:numId w:val="8"/>
        </w:numPr>
        <w:adjustRightInd/>
        <w:snapToGrid/>
        <w:spacing w:line="360" w:lineRule="auto"/>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备用水源</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2018年德安县政府工作报告》，实施“山绿工程”，扎实推进绿色矿山建设和矿山恢复治理，认真做好天然林保护和退耕还林，封山育林1万亩，森林抚育3.5万亩。实施“水清工程”，扎实推进水源涵养保护和水污染防治，</w:t>
      </w:r>
      <w:r>
        <w:rPr>
          <w:rFonts w:hint="eastAsia" w:ascii="宋体" w:hAnsi="宋体" w:eastAsia="宋体" w:cs="宋体"/>
          <w:b/>
          <w:bCs/>
          <w:kern w:val="0"/>
          <w:sz w:val="24"/>
          <w:szCs w:val="24"/>
          <w:lang w:val="en-US" w:eastAsia="zh-CN"/>
        </w:rPr>
        <w:t>启动木环水库备用水源地建设</w:t>
      </w:r>
      <w:r>
        <w:rPr>
          <w:rFonts w:hint="eastAsia" w:ascii="宋体" w:hAnsi="宋体" w:eastAsia="宋体" w:cs="宋体"/>
          <w:kern w:val="0"/>
          <w:sz w:val="24"/>
          <w:szCs w:val="24"/>
          <w:lang w:val="en-US" w:eastAsia="zh-CN"/>
        </w:rPr>
        <w:t>，继续开展博阳河河道整治和清淤工作，确保主要河流断面水质稳定在Ⅲ类以上。</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政府报告中强调，将启动木环水库作为备用水源地建设，目前木环水库扩容项目已进行前期论证，后期将稳步推进。</w:t>
      </w:r>
    </w:p>
    <w:p>
      <w:pPr>
        <w:adjustRightInd/>
        <w:snapToGrid/>
        <w:spacing w:line="360" w:lineRule="auto"/>
        <w:ind w:firstLine="56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雁家湖水厂现有两个取水工程：一个位于瓦子塘水库，在柘林灌区总干渠道（燕访管理段）105国道跨渠公路桥下游80m，瓦子塘水库取水泵站输出的浑水管管径为DN800mm，设计取水能力为5万m³/d，每年的供水保障期为</w:t>
      </w:r>
      <w:r>
        <w:rPr>
          <w:rFonts w:hint="eastAsia" w:ascii="宋体" w:hAnsi="宋体" w:eastAsia="宋体" w:cs="宋体"/>
          <w:kern w:val="0"/>
          <w:sz w:val="24"/>
          <w:szCs w:val="24"/>
          <w:lang w:val="en-US" w:eastAsia="zh-CN"/>
        </w:rPr>
        <w:t>7月至9月</w:t>
      </w:r>
      <w:r>
        <w:rPr>
          <w:rFonts w:hint="eastAsia" w:ascii="宋体" w:hAnsi="宋体" w:eastAsia="宋体" w:cs="宋体"/>
          <w:kern w:val="0"/>
          <w:sz w:val="24"/>
          <w:szCs w:val="24"/>
          <w:lang w:eastAsia="zh-CN"/>
        </w:rPr>
        <w:t>；另一个取水点位于柳田夏家，建于2016年，距离雁家湖水厂约21.62Km，总取水规模为</w:t>
      </w:r>
      <w:r>
        <w:rPr>
          <w:rFonts w:hint="eastAsia" w:ascii="宋体" w:hAnsi="宋体" w:eastAsia="宋体" w:cs="宋体"/>
          <w:kern w:val="0"/>
          <w:sz w:val="24"/>
          <w:szCs w:val="24"/>
          <w:lang w:val="en-US" w:eastAsia="zh-CN"/>
        </w:rPr>
        <w:t>9</w:t>
      </w:r>
      <w:r>
        <w:rPr>
          <w:rFonts w:hint="eastAsia" w:ascii="宋体" w:hAnsi="宋体" w:eastAsia="宋体" w:cs="宋体"/>
          <w:kern w:val="0"/>
          <w:sz w:val="24"/>
          <w:szCs w:val="24"/>
          <w:lang w:eastAsia="zh-CN"/>
        </w:rPr>
        <w:t>.0万m³/d，其中雁家湖水厂部分取水规模为</w:t>
      </w:r>
      <w:r>
        <w:rPr>
          <w:rFonts w:hint="eastAsia" w:ascii="宋体" w:hAnsi="宋体" w:eastAsia="宋体" w:cs="宋体"/>
          <w:kern w:val="0"/>
          <w:sz w:val="24"/>
          <w:szCs w:val="24"/>
          <w:lang w:val="en-US" w:eastAsia="zh-CN"/>
        </w:rPr>
        <w:t>5.0万m³/d</w:t>
      </w:r>
      <w:r>
        <w:rPr>
          <w:rFonts w:hint="eastAsia" w:ascii="宋体" w:hAnsi="宋体" w:eastAsia="宋体" w:cs="宋体"/>
          <w:kern w:val="0"/>
          <w:sz w:val="24"/>
          <w:szCs w:val="24"/>
          <w:lang w:eastAsia="zh-CN"/>
        </w:rPr>
        <w:t>。</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整体供水水源较为单一，备用保证率不高，根据德安县相关规划，将在宝塔乡建设木环水库，木环水库建成后，可作为德安县备用水源，原水管线可与现有博阳河取水的原水管线乡连通，保障雁家湖水厂以及彭山水厂的供水需要。</w:t>
      </w:r>
    </w:p>
    <w:p>
      <w:pPr>
        <w:numPr>
          <w:ilvl w:val="0"/>
          <w:numId w:val="8"/>
        </w:numPr>
        <w:adjustRightInd/>
        <w:snapToGrid/>
        <w:spacing w:line="360" w:lineRule="auto"/>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红桥水库</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德安县红桥水库原属于江西省重点小（1）型水库，根据《德安县博阳河流域统合规划》，本次拟将其列入江西省“十二五”大、中型水库建设规划中，将其扩建成中型水库。</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根据调查，本工程属扩建工程，工程建设用地总面积为530亩，其中永久征用林地300亩，规划搬迁人口45人。工程移民安置以大农业安置为主，以有土安置为本，以调整现有耕地为主的移民安置方式解决。</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近几年，由于极端天气频发，连年干旱，红桥水库下游灌区的农田灌溉用水严重不足，局部农作物基本绝收。该水库本次扩建，仅需将大坝加高5m，水库总库容可达到1200万m3，新增库容690万m3，为下游吴山、聂桥及丰林等3个乡镇的农业生产及群众生产生活提供充足的水源。其下游灌区新增灌溉面积0.5万亩，改善灌溉面积1.5万亩，每年可为下游工业和群众生活用水及农村人畜饮水提供300万m3水。新增防洪库容130万m3，可有效控制上游来水，减轻下游河道圩堤尤其是德安县城的防洪压力。枯水期可为下游河道提供生态流量，确保河道生态安全。总之，该水库通过本次改扩建，水库的灌溉、供水及防洪等综合效益得到显著提高，社会效益明显。</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水库总库容1200万m3，正常蓄水位114m，最大防洪库容130万m3，工程区地震基本烈度为VI度，大坝地震设计烈度提高I度采用VII度。</w:t>
      </w:r>
    </w:p>
    <w:p>
      <w:pPr>
        <w:adjustRightInd/>
        <w:snapToGrid/>
        <w:spacing w:line="360" w:lineRule="auto"/>
        <w:ind w:firstLine="56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目前红桥水库为红桥水厂的供水水源，红桥水库扩容的建设期将对红桥水库的供水产生影响。</w:t>
      </w:r>
    </w:p>
    <w:p>
      <w:pPr>
        <w:pStyle w:val="5"/>
        <w:adjustRightInd/>
        <w:snapToGrid/>
        <w:spacing w:line="360" w:lineRule="auto"/>
        <w:ind w:firstLine="482" w:firstLineChars="200"/>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 xml:space="preserve"> </w:t>
      </w:r>
      <w:bookmarkStart w:id="68" w:name="_Toc15380"/>
      <w:r>
        <w:rPr>
          <w:rFonts w:hint="eastAsia" w:ascii="宋体" w:hAnsi="宋体" w:eastAsia="宋体" w:cs="宋体"/>
          <w:b/>
          <w:bCs/>
          <w:kern w:val="2"/>
          <w:sz w:val="24"/>
          <w:szCs w:val="24"/>
          <w:lang w:val="en-US" w:eastAsia="zh-CN"/>
        </w:rPr>
        <w:t>总体布局</w:t>
      </w:r>
      <w:bookmarkEnd w:id="68"/>
    </w:p>
    <w:p>
      <w:pPr>
        <w:keepNext/>
        <w:keepLines/>
        <w:widowControl w:val="0"/>
        <w:numPr>
          <w:ilvl w:val="2"/>
          <w:numId w:val="1"/>
        </w:numPr>
        <w:spacing w:line="360" w:lineRule="auto"/>
        <w:jc w:val="both"/>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总体布局的原则</w:t>
      </w:r>
    </w:p>
    <w:p>
      <w:pPr>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规划总体布局应与乡村振兴规划、村庄规划、水资源规划等协调，“抓两头带中间”。有条件的地区，重点推行城乡供水一体化和规模化集中供水；基础薄弱的地区，</w:t>
      </w:r>
      <w:r>
        <w:rPr>
          <w:rFonts w:hint="eastAsia" w:ascii="宋体" w:hAnsi="宋体" w:eastAsia="宋体" w:cs="宋体"/>
          <w:bCs/>
          <w:sz w:val="24"/>
          <w:szCs w:val="24"/>
        </w:rPr>
        <w:t>以大并小，小小联合，因地制宜推进小型工程规范化建设和改造</w:t>
      </w:r>
      <w:r>
        <w:rPr>
          <w:rFonts w:hint="eastAsia" w:ascii="宋体" w:hAnsi="宋体" w:eastAsia="宋体" w:cs="宋体"/>
          <w:sz w:val="24"/>
          <w:szCs w:val="24"/>
        </w:rPr>
        <w:t>。在批准的《县级农村自来水工程规划》确定的供水分区和工程总体布局的基础上，综合考虑当地自然地理和水资源条件、经济社会发展水平、村镇空间布局、人口变化、重点风险源分布及现有工程实际状况等情况，进一步优化供水分区和工程总体布局（有可能一个县只有一种模式），科学确定工程建设总规模、技术方案与建设内容及“十四五”规划工程建设规模、技术方案与建设内容。</w:t>
      </w:r>
    </w:p>
    <w:p>
      <w:pPr>
        <w:adjustRightInd/>
        <w:snapToGrid/>
        <w:spacing w:line="360" w:lineRule="auto"/>
        <w:ind w:firstLine="562"/>
        <w:rPr>
          <w:rFonts w:hint="eastAsia" w:ascii="宋体" w:hAnsi="宋体" w:eastAsia="宋体" w:cs="宋体"/>
          <w:sz w:val="24"/>
          <w:szCs w:val="24"/>
        </w:rPr>
      </w:pPr>
      <w:r>
        <w:rPr>
          <w:rFonts w:hint="eastAsia" w:ascii="宋体" w:hAnsi="宋体" w:eastAsia="宋体" w:cs="宋体"/>
          <w:b/>
          <w:bCs/>
          <w:sz w:val="24"/>
          <w:szCs w:val="24"/>
        </w:rPr>
        <w:t>1、人口集中程度高的平原区、河谷地带、地势平缓的丘陵区：</w:t>
      </w:r>
      <w:r>
        <w:rPr>
          <w:rFonts w:hint="eastAsia" w:ascii="宋体" w:hAnsi="宋体" w:eastAsia="宋体" w:cs="宋体"/>
          <w:sz w:val="24"/>
          <w:szCs w:val="24"/>
        </w:rPr>
        <w:t>对现有供水格局进行优化，做到优水多用。城市周边，优先推行城乡一体化供水；不具备城乡一体化供水条件的，实施规模化集中供水，打破乡镇行政区划</w:t>
      </w:r>
      <w:r>
        <w:rPr>
          <w:rFonts w:hint="eastAsia" w:ascii="宋体" w:hAnsi="宋体" w:eastAsia="宋体" w:cs="宋体"/>
          <w:sz w:val="24"/>
          <w:szCs w:val="24"/>
          <w:lang w:eastAsia="zh-CN"/>
        </w:rPr>
        <w:t>界线</w:t>
      </w:r>
      <w:r>
        <w:rPr>
          <w:rFonts w:hint="eastAsia" w:ascii="宋体" w:hAnsi="宋体" w:eastAsia="宋体" w:cs="宋体"/>
          <w:sz w:val="24"/>
          <w:szCs w:val="24"/>
        </w:rPr>
        <w:t>，尽量扩大规模化供水覆盖面积。</w:t>
      </w:r>
    </w:p>
    <w:p>
      <w:pPr>
        <w:adjustRightInd/>
        <w:snapToGrid/>
        <w:spacing w:line="360" w:lineRule="auto"/>
        <w:ind w:firstLine="562"/>
        <w:rPr>
          <w:rFonts w:hint="eastAsia" w:ascii="宋体" w:hAnsi="宋体" w:eastAsia="宋体" w:cs="宋体"/>
          <w:sz w:val="24"/>
          <w:szCs w:val="24"/>
        </w:rPr>
      </w:pPr>
      <w:r>
        <w:rPr>
          <w:rFonts w:hint="eastAsia" w:ascii="宋体" w:hAnsi="宋体" w:eastAsia="宋体" w:cs="宋体"/>
          <w:b/>
          <w:bCs/>
          <w:sz w:val="24"/>
          <w:szCs w:val="24"/>
        </w:rPr>
        <w:t>2、人口相对集中的地势坡度适中区域：</w:t>
      </w:r>
      <w:r>
        <w:rPr>
          <w:rFonts w:hint="eastAsia" w:ascii="宋体" w:hAnsi="宋体" w:eastAsia="宋体" w:cs="宋体"/>
          <w:sz w:val="24"/>
          <w:szCs w:val="24"/>
        </w:rPr>
        <w:t>优先发展规模化集中供水；在不具备发展规模化集中供水的条件下，通过兼并整合改造现有中小集中供水工程，适度提高农村集中供水率和自来水普及率。</w:t>
      </w:r>
    </w:p>
    <w:p>
      <w:pPr>
        <w:adjustRightInd/>
        <w:snapToGrid/>
        <w:spacing w:line="360" w:lineRule="auto"/>
        <w:ind w:firstLine="562"/>
        <w:rPr>
          <w:rFonts w:hint="eastAsia" w:ascii="宋体" w:hAnsi="宋体" w:eastAsia="宋体" w:cs="宋体"/>
          <w:bCs/>
          <w:sz w:val="24"/>
          <w:szCs w:val="24"/>
        </w:rPr>
      </w:pPr>
      <w:r>
        <w:rPr>
          <w:rFonts w:hint="eastAsia" w:ascii="宋体" w:hAnsi="宋体" w:eastAsia="宋体" w:cs="宋体"/>
          <w:b/>
          <w:sz w:val="24"/>
          <w:szCs w:val="24"/>
        </w:rPr>
        <w:t>3、其它区域：</w:t>
      </w:r>
      <w:r>
        <w:rPr>
          <w:rFonts w:hint="eastAsia" w:ascii="宋体" w:hAnsi="宋体" w:eastAsia="宋体" w:cs="宋体"/>
          <w:bCs/>
          <w:sz w:val="24"/>
          <w:szCs w:val="24"/>
        </w:rPr>
        <w:t>以改造现有小型集中供水工程为主。</w:t>
      </w:r>
    </w:p>
    <w:p>
      <w:pPr>
        <w:keepNext/>
        <w:keepLines/>
        <w:widowControl w:val="0"/>
        <w:numPr>
          <w:ilvl w:val="2"/>
          <w:numId w:val="1"/>
        </w:numPr>
        <w:spacing w:line="360" w:lineRule="auto"/>
        <w:jc w:val="both"/>
        <w:outlineLvl w:val="2"/>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总体布局</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此次规划充分考虑了</w:t>
      </w:r>
      <w:r>
        <w:rPr>
          <w:rFonts w:hint="eastAsia" w:ascii="宋体" w:hAnsi="宋体" w:eastAsia="宋体" w:cs="宋体"/>
          <w:color w:val="auto"/>
          <w:sz w:val="24"/>
          <w:szCs w:val="24"/>
          <w:lang w:eastAsia="zh-CN"/>
        </w:rPr>
        <w:t>乡村振兴计划、供水</w:t>
      </w:r>
      <w:r>
        <w:rPr>
          <w:rFonts w:hint="eastAsia" w:ascii="宋体" w:hAnsi="宋体" w:eastAsia="宋体" w:cs="宋体"/>
          <w:color w:val="auto"/>
          <w:sz w:val="24"/>
          <w:szCs w:val="24"/>
        </w:rPr>
        <w:t>水源，地形，供水现状等因素</w:t>
      </w:r>
      <w:r>
        <w:rPr>
          <w:rFonts w:hint="eastAsia" w:ascii="宋体" w:hAnsi="宋体" w:eastAsia="宋体" w:cs="宋体"/>
          <w:color w:val="auto"/>
          <w:sz w:val="24"/>
          <w:szCs w:val="24"/>
          <w:lang w:val="en-US" w:eastAsia="zh-CN"/>
        </w:rPr>
        <w:t>，规划至2025年，德安县城乡供水一体化工程将形成“一大一小”两个片区，分别为联合片区（含有7个水厂，分别为雁家湖水厂、林泉水厂、红桥水厂、磨溪水厂、车桥水厂、邹桥水厂、彭山水厂）以及塘山片区（含塘山水厂），实现农村自来水全覆盖。</w:t>
      </w:r>
    </w:p>
    <w:p>
      <w:pPr>
        <w:numPr>
          <w:ilvl w:val="0"/>
          <w:numId w:val="9"/>
        </w:num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雁家湖水厂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雁家湖水厂为现有工程，主要供水区域为县城、除部分偏远村庄外的宝塔乡，河东乡以及德安工业园，总供水规模为50000m³/d，现状实际供水规模为30000m³/d，其中农村供水规模为5000m³/d；水源为博阳河；总覆盖人口为69142人，其中县城人口为40900人，农村人口为28842人。</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随着县城及工业园区的发展，覆盖范围将逐步增加，给水管网将同步完善；同时县城内的老旧管网使用时间较长，管径较小，漏损率较高，成为了城市供水的薄弱环节，在“十四五”期间，将逐步进行改造。</w:t>
      </w:r>
    </w:p>
    <w:p>
      <w:pPr>
        <w:numPr>
          <w:ilvl w:val="0"/>
          <w:numId w:val="9"/>
        </w:num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彭山水厂</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彭山水厂为现有工程，始建于2019年10月，完工于2020年6月。设计供水规模为2万m³/d,目前已建1.0万m³/d，主要供水范围为丰林镇、丰林工业园及高塘影视小镇，取水水源为博阳河，与雁家湖水厂共用原水管线及取水泵房。</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随着高塘影视小镇的实施，原有林泉水厂的水量无法满足需要，本次规划将对彭山水厂进行扩建，扩建规模为1万m³/d，建成后规模为2万m³/d。以博阳河为供水水源，与雁家湖水厂共用原水管道及取水泵房。</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彭山水厂作为农村自来水工程的综合管理中心，全县搭建自“水源-水厂-管网”全流程的在线智慧水务平台，并将信息集中输送至彭山水厂，彭水水厂作为信息管理中心，集中处理供水系统中的各种问题，统一调度，提高水厂的应急反应能力。</w:t>
      </w:r>
    </w:p>
    <w:p>
      <w:pPr>
        <w:numPr>
          <w:ilvl w:val="0"/>
          <w:numId w:val="9"/>
        </w:num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林泉水厂</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林泉水厂为现有工程，2016年，林泉水厂进行了改造，采用钢结构一体化净水设备，一期供水规模为5000m³/d，取水自林泉水库。主要供水范围为林泉乡及高塘乡。</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“十四五”期间，林泉水厂本身不进行改扩建，主要任务为：完善管网铺设，对老旧管网进行改造，对进村入户工程进行查缺补漏以及信息化建设。</w:t>
      </w:r>
    </w:p>
    <w:p>
      <w:pPr>
        <w:numPr>
          <w:ilvl w:val="0"/>
          <w:numId w:val="9"/>
        </w:numPr>
        <w:spacing w:line="360" w:lineRule="auto"/>
        <w:ind w:firstLine="480" w:firstLineChars="200"/>
        <w:rPr>
          <w:rFonts w:hint="default"/>
          <w:lang w:val="en-US" w:eastAsia="zh-CN"/>
        </w:rPr>
      </w:pPr>
      <w:r>
        <w:rPr>
          <w:rFonts w:hint="eastAsia" w:ascii="宋体" w:hAnsi="宋体" w:eastAsia="宋体" w:cs="宋体"/>
          <w:kern w:val="0"/>
          <w:sz w:val="24"/>
          <w:szCs w:val="24"/>
          <w:lang w:val="en-US" w:eastAsia="zh-CN"/>
        </w:rPr>
        <w:t>红桥水厂</w:t>
      </w:r>
    </w:p>
    <w:p>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红桥水厂为现有工程，2016年，红桥水厂进行了改造，采用钢结构一体化净水设备，一期供水规模为2900m³/d，取水自红桥水库。主要供水范围为吴山镇以及聂桥镇。</w:t>
      </w:r>
    </w:p>
    <w:p>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“十四五”期间，红桥水厂本身不进行改扩建，主要任务为：随着红桥水库的除险加固的实施，更新配套原水管线；完善管网铺设，对老旧管网进行改造，对进村入户工程进行查缺补漏以及信息化建设。</w:t>
      </w:r>
    </w:p>
    <w:p>
      <w:pPr>
        <w:numPr>
          <w:ilvl w:val="0"/>
          <w:numId w:val="9"/>
        </w:numPr>
        <w:spacing w:line="360" w:lineRule="auto"/>
        <w:ind w:left="0" w:leftChars="0"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磨溪水厂</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磨溪水厂为现有工程，2018年，选址重建，采用钢结构一体化净水设备，设计供水规模为1600m³/d，取水自新田水库。主要供水范围为磨溪乡。</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“十四五”期间，磨溪水厂本身不进行改扩建，主要任务为：完善管网铺设，对老旧管网进行改造，对进村入户工程进行查缺补漏以及信息化建设。</w:t>
      </w:r>
    </w:p>
    <w:p>
      <w:pPr>
        <w:numPr>
          <w:ilvl w:val="0"/>
          <w:numId w:val="9"/>
        </w:numPr>
        <w:spacing w:line="360" w:lineRule="auto"/>
        <w:ind w:left="0" w:leftChars="0"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车桥水厂</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车桥水厂为现有工程，2018年，选址重建，采用钢结构一体化净水设备，设计供水规模为1500m³/d，取水自上易水库。主要供水范围为车桥乡。</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“十四五”期间，车桥水厂本身不进行改扩建，主要任务为：完善管网铺设，对老旧管网进行改造，对进村入户工程进行查缺补漏以及信息化建设。</w:t>
      </w:r>
    </w:p>
    <w:p>
      <w:pPr>
        <w:numPr>
          <w:ilvl w:val="0"/>
          <w:numId w:val="9"/>
        </w:numPr>
        <w:spacing w:line="360" w:lineRule="auto"/>
        <w:ind w:left="0" w:leftChars="0"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邹桥水厂</w:t>
      </w:r>
    </w:p>
    <w:p>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邹桥水厂为现有工程，始建于2008年8月，水源为湖塘水库，原水经取水泵提升至一体化处理设备,2019年，在现有厂址的基础上进行扩建，现状供水规模为2000m³/d。主要供水范围为车桥乡及爱民乡。</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十四五”期间，邹桥水厂的主要任务为：为满足义门陈特色小镇及万年青的用水需要，将对邹桥水厂进行扩建，扩建规模为3000m³/d，扩建后规模为5000m³/d；完善管网铺设，对老旧管网进行改造，对进村入户工程进行查缺补漏以及信息化建设。</w:t>
      </w:r>
    </w:p>
    <w:p>
      <w:pPr>
        <w:numPr>
          <w:ilvl w:val="0"/>
          <w:numId w:val="9"/>
        </w:numPr>
        <w:spacing w:line="360" w:lineRule="auto"/>
        <w:ind w:left="0" w:leftChars="0"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塘山水厂</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塘山水厂为现有工程，建成于2017年，设计供水规模为1000m³/d，水源为狐狸洞暗河及机井；主要供水范围为塘山乡。</w:t>
      </w:r>
    </w:p>
    <w:p>
      <w:pPr>
        <w:spacing w:line="360" w:lineRule="auto"/>
        <w:ind w:firstLine="480" w:firstLineChars="200"/>
        <w:rPr>
          <w:rFonts w:hint="default"/>
          <w:lang w:val="en-US" w:eastAsia="zh-CN"/>
        </w:rPr>
      </w:pPr>
      <w:r>
        <w:rPr>
          <w:rFonts w:hint="eastAsia" w:ascii="宋体" w:hAnsi="宋体" w:eastAsia="宋体" w:cs="宋体"/>
          <w:kern w:val="0"/>
          <w:sz w:val="24"/>
          <w:szCs w:val="24"/>
          <w:lang w:val="en-US" w:eastAsia="zh-CN"/>
        </w:rPr>
        <w:t>“十四五”期间，塘山水厂主要任务为：增设一座机井，完善管网铺设，对老旧管网进行改造，对进村入户工程进行查缺补漏以及信息化建设。</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 xml:space="preserve"> </w:t>
      </w:r>
      <w:bookmarkStart w:id="69" w:name="_Toc26047"/>
      <w:r>
        <w:rPr>
          <w:rFonts w:hint="eastAsia" w:ascii="宋体" w:hAnsi="宋体" w:eastAsia="宋体" w:cs="宋体"/>
          <w:b/>
          <w:bCs/>
          <w:kern w:val="2"/>
          <w:sz w:val="24"/>
          <w:szCs w:val="24"/>
          <w:lang w:val="en-US" w:eastAsia="zh-CN"/>
        </w:rPr>
        <w:t>规划分区</w:t>
      </w:r>
      <w:bookmarkEnd w:id="69"/>
    </w:p>
    <w:p>
      <w:pPr>
        <w:keepNext/>
        <w:keepLines/>
        <w:widowControl w:val="0"/>
        <w:numPr>
          <w:ilvl w:val="2"/>
          <w:numId w:val="1"/>
        </w:numPr>
        <w:spacing w:line="360" w:lineRule="auto"/>
        <w:jc w:val="both"/>
        <w:outlineLvl w:val="2"/>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 xml:space="preserve"> 分区</w:t>
      </w:r>
      <w:r>
        <w:rPr>
          <w:rFonts w:hint="eastAsia" w:ascii="宋体" w:hAnsi="宋体" w:eastAsia="宋体" w:cs="宋体"/>
          <w:b/>
          <w:bCs/>
          <w:sz w:val="24"/>
          <w:szCs w:val="24"/>
          <w:lang w:val="en-US" w:eastAsia="zh-CN"/>
        </w:rPr>
        <w:t>原则</w:t>
      </w:r>
    </w:p>
    <w:p>
      <w:pPr>
        <w:adjustRightInd/>
        <w:snapToGrid/>
        <w:spacing w:line="360" w:lineRule="auto"/>
        <w:ind w:firstLine="560"/>
        <w:rPr>
          <w:rFonts w:hint="eastAsia" w:ascii="宋体" w:hAnsi="宋体" w:eastAsia="宋体" w:cs="宋体"/>
          <w:sz w:val="24"/>
          <w:szCs w:val="24"/>
        </w:rPr>
      </w:pPr>
      <w:r>
        <w:rPr>
          <w:rFonts w:hint="eastAsia" w:ascii="宋体" w:hAnsi="宋体" w:eastAsia="宋体" w:cs="宋体"/>
          <w:sz w:val="24"/>
          <w:szCs w:val="24"/>
        </w:rPr>
        <w:t>按县域地形地貌、水源条件和人口布局等因素进行规划分区，针对各分区存在的主要问题和供水特点，分别提出规划措施（同一类型地区可不分区，多种类型地区建议分区）。工程规划突出宜大则大，宜并则并、宜延则延、宜小则小的原则。</w:t>
      </w:r>
    </w:p>
    <w:p>
      <w:pPr>
        <w:keepNext/>
        <w:keepLines/>
        <w:widowControl w:val="0"/>
        <w:numPr>
          <w:ilvl w:val="2"/>
          <w:numId w:val="1"/>
        </w:numPr>
        <w:spacing w:line="360" w:lineRule="auto"/>
        <w:jc w:val="both"/>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 xml:space="preserve"> 规划</w:t>
      </w:r>
      <w:r>
        <w:rPr>
          <w:rFonts w:hint="eastAsia" w:ascii="宋体" w:hAnsi="宋体" w:eastAsia="宋体" w:cs="宋体"/>
          <w:b/>
          <w:bCs/>
          <w:color w:val="auto"/>
          <w:sz w:val="24"/>
          <w:szCs w:val="24"/>
          <w:lang w:val="en-US" w:eastAsia="zh-CN"/>
        </w:rPr>
        <w:t>分区</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此次规划充分考虑了</w:t>
      </w:r>
      <w:r>
        <w:rPr>
          <w:rFonts w:hint="eastAsia" w:ascii="宋体" w:hAnsi="宋体" w:eastAsia="宋体" w:cs="宋体"/>
          <w:color w:val="auto"/>
          <w:sz w:val="24"/>
          <w:szCs w:val="24"/>
          <w:lang w:eastAsia="zh-CN"/>
        </w:rPr>
        <w:t>乡村振兴计划、供水</w:t>
      </w:r>
      <w:r>
        <w:rPr>
          <w:rFonts w:hint="eastAsia" w:ascii="宋体" w:hAnsi="宋体" w:eastAsia="宋体" w:cs="宋体"/>
          <w:color w:val="auto"/>
          <w:sz w:val="24"/>
          <w:szCs w:val="24"/>
        </w:rPr>
        <w:t>水源，地形，供水现状等因素</w:t>
      </w:r>
      <w:r>
        <w:rPr>
          <w:rFonts w:hint="eastAsia" w:ascii="宋体" w:hAnsi="宋体" w:eastAsia="宋体" w:cs="宋体"/>
          <w:color w:val="auto"/>
          <w:sz w:val="24"/>
          <w:szCs w:val="24"/>
          <w:lang w:val="en-US" w:eastAsia="zh-CN"/>
        </w:rPr>
        <w:t>，规划至2025年，德安县城乡供水一体化工程将形成“一大一小”两个片区，分别为联合片区（含有7个水厂，分别为雁家湖水厂、林泉水厂、红桥水厂、磨溪水厂、车桥水厂、邹桥水厂、彭山水厂）以及塘山片区（含塘山水厂），实现农村自来水全覆盖。</w:t>
      </w:r>
    </w:p>
    <w:p>
      <w:pPr>
        <w:spacing w:line="360" w:lineRule="auto"/>
        <w:ind w:firstLine="480" w:firstLineChars="200"/>
        <w:rPr>
          <w:rFonts w:hint="eastAsia"/>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个规</w:t>
      </w:r>
      <w:r>
        <w:rPr>
          <w:rFonts w:hint="eastAsia" w:ascii="宋体" w:hAnsi="宋体" w:eastAsia="宋体" w:cs="宋体"/>
          <w:color w:val="auto"/>
          <w:sz w:val="24"/>
          <w:szCs w:val="24"/>
          <w:lang w:val="en-US" w:eastAsia="zh-CN"/>
        </w:rPr>
        <w:t>模化供水分区共规划水厂8座。①联合片区供水工程涉及县城（蒲亭镇）、宝塔乡，河东乡、丰林镇、林泉乡、高塘乡、邹桥乡、爱民乡、吴山镇、聂桥镇、车桥镇、磨溪乡等</w:t>
      </w:r>
      <w:r>
        <w:rPr>
          <w:rFonts w:hint="eastAsia" w:ascii="宋体" w:hAnsi="宋体" w:eastAsia="宋体" w:cs="宋体"/>
          <w:color w:val="auto"/>
          <w:sz w:val="24"/>
          <w:szCs w:val="24"/>
        </w:rPr>
        <w:t>，规划</w:t>
      </w:r>
      <w:r>
        <w:rPr>
          <w:rFonts w:hint="eastAsia" w:ascii="宋体" w:hAnsi="宋体" w:eastAsia="宋体" w:cs="宋体"/>
          <w:color w:val="auto"/>
          <w:sz w:val="24"/>
          <w:szCs w:val="24"/>
          <w:lang w:val="en-US" w:eastAsia="zh-CN"/>
        </w:rPr>
        <w:t>由7座水厂联合供水，规划供水规模8.6</w:t>
      </w:r>
      <w:r>
        <w:rPr>
          <w:rFonts w:hint="eastAsia" w:ascii="宋体" w:hAnsi="宋体" w:eastAsia="宋体" w:cs="宋体"/>
          <w:color w:val="auto"/>
          <w:sz w:val="24"/>
          <w:szCs w:val="24"/>
        </w:rPr>
        <w:t>万m3/d</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供水人口15.8063万人（农村人口9.4675万人）。其中，扩建邹桥水厂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彭山水厂等</w:t>
      </w:r>
      <w:r>
        <w:rPr>
          <w:rFonts w:hint="eastAsia" w:ascii="宋体" w:hAnsi="宋体" w:eastAsia="宋体" w:cs="宋体"/>
          <w:color w:val="auto"/>
          <w:sz w:val="24"/>
          <w:szCs w:val="24"/>
        </w:rPr>
        <w:t>水厂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利用雁家湖水厂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林泉水厂、红桥水厂、车桥水厂、磨溪水厂等现有</w:t>
      </w:r>
      <w:r>
        <w:rPr>
          <w:rFonts w:hint="eastAsia" w:ascii="宋体" w:hAnsi="宋体" w:eastAsia="宋体" w:cs="宋体"/>
          <w:color w:val="auto"/>
          <w:sz w:val="24"/>
          <w:szCs w:val="24"/>
        </w:rPr>
        <w:t>水厂</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水源</w:t>
      </w:r>
      <w:r>
        <w:rPr>
          <w:rFonts w:hint="eastAsia" w:ascii="宋体" w:hAnsi="宋体" w:eastAsia="宋体" w:cs="宋体"/>
          <w:color w:val="auto"/>
          <w:sz w:val="24"/>
          <w:szCs w:val="24"/>
          <w:lang w:val="en-US" w:eastAsia="zh-CN"/>
        </w:rPr>
        <w:t>分别</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木环</w:t>
      </w:r>
      <w:r>
        <w:rPr>
          <w:rFonts w:hint="eastAsia" w:ascii="宋体" w:hAnsi="宋体" w:eastAsia="宋体" w:cs="宋体"/>
          <w:color w:val="auto"/>
          <w:sz w:val="24"/>
          <w:szCs w:val="24"/>
        </w:rPr>
        <w:t>水库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拟新</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县城备用水源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湖塘</w:t>
      </w:r>
      <w:r>
        <w:rPr>
          <w:rFonts w:hint="eastAsia" w:ascii="宋体" w:hAnsi="宋体" w:eastAsia="宋体" w:cs="宋体"/>
          <w:color w:val="auto"/>
          <w:sz w:val="24"/>
          <w:szCs w:val="24"/>
        </w:rPr>
        <w:t>水库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已</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林泉</w:t>
      </w:r>
      <w:r>
        <w:rPr>
          <w:rFonts w:hint="eastAsia" w:ascii="宋体" w:hAnsi="宋体" w:eastAsia="宋体" w:cs="宋体"/>
          <w:color w:val="auto"/>
          <w:sz w:val="24"/>
          <w:szCs w:val="24"/>
        </w:rPr>
        <w:t>水库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已</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红桥</w:t>
      </w:r>
      <w:r>
        <w:rPr>
          <w:rFonts w:hint="eastAsia" w:ascii="宋体" w:hAnsi="宋体" w:eastAsia="宋体" w:cs="宋体"/>
          <w:color w:val="auto"/>
          <w:sz w:val="24"/>
          <w:szCs w:val="24"/>
        </w:rPr>
        <w:t>水库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已</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上易</w:t>
      </w:r>
      <w:r>
        <w:rPr>
          <w:rFonts w:hint="eastAsia" w:ascii="宋体" w:hAnsi="宋体" w:eastAsia="宋体" w:cs="宋体"/>
          <w:color w:val="auto"/>
          <w:sz w:val="24"/>
          <w:szCs w:val="24"/>
        </w:rPr>
        <w:t>水库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已</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新田</w:t>
      </w:r>
      <w:r>
        <w:rPr>
          <w:rFonts w:hint="eastAsia" w:ascii="宋体" w:hAnsi="宋体" w:eastAsia="宋体" w:cs="宋体"/>
          <w:color w:val="auto"/>
          <w:sz w:val="24"/>
          <w:szCs w:val="24"/>
        </w:rPr>
        <w:t>水库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已</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博阳河；②塘山片区供水工程</w:t>
      </w:r>
      <w:r>
        <w:rPr>
          <w:rFonts w:hint="eastAsia" w:ascii="宋体" w:hAnsi="宋体" w:eastAsia="宋体" w:cs="宋体"/>
          <w:color w:val="auto"/>
          <w:sz w:val="24"/>
          <w:szCs w:val="24"/>
        </w:rPr>
        <w:t>涉及</w:t>
      </w:r>
      <w:r>
        <w:rPr>
          <w:rFonts w:hint="eastAsia" w:ascii="宋体" w:hAnsi="宋体" w:eastAsia="宋体" w:cs="宋体"/>
          <w:color w:val="auto"/>
          <w:sz w:val="24"/>
          <w:szCs w:val="24"/>
          <w:lang w:val="en-US" w:eastAsia="zh-CN"/>
        </w:rPr>
        <w:t>塘山乡</w:t>
      </w:r>
      <w:r>
        <w:rPr>
          <w:rFonts w:hint="eastAsia" w:ascii="宋体" w:hAnsi="宋体" w:eastAsia="宋体" w:cs="宋体"/>
          <w:color w:val="auto"/>
          <w:sz w:val="24"/>
          <w:szCs w:val="24"/>
        </w:rPr>
        <w:t>、规划</w:t>
      </w:r>
      <w:r>
        <w:rPr>
          <w:rFonts w:hint="eastAsia" w:ascii="宋体" w:hAnsi="宋体" w:eastAsia="宋体" w:cs="宋体"/>
          <w:color w:val="auto"/>
          <w:sz w:val="24"/>
          <w:szCs w:val="24"/>
          <w:lang w:val="en-US" w:eastAsia="zh-CN"/>
        </w:rPr>
        <w:t>由1座水厂联合供水，规划供水规模0.1</w:t>
      </w:r>
      <w:r>
        <w:rPr>
          <w:rFonts w:hint="eastAsia" w:ascii="宋体" w:hAnsi="宋体" w:eastAsia="宋体" w:cs="宋体"/>
          <w:color w:val="auto"/>
          <w:sz w:val="24"/>
          <w:szCs w:val="24"/>
        </w:rPr>
        <w:t>万m3/d</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供水人口0.4365万人（农村人口0.4365万人）。其中，改造塘山水厂等</w:t>
      </w:r>
      <w:r>
        <w:rPr>
          <w:rFonts w:hint="eastAsia" w:ascii="宋体" w:hAnsi="宋体" w:eastAsia="宋体" w:cs="宋体"/>
          <w:color w:val="auto"/>
          <w:sz w:val="24"/>
          <w:szCs w:val="24"/>
        </w:rPr>
        <w:t>水厂，水源</w:t>
      </w:r>
      <w:r>
        <w:rPr>
          <w:rFonts w:hint="eastAsia" w:ascii="宋体" w:hAnsi="宋体" w:eastAsia="宋体" w:cs="宋体"/>
          <w:color w:val="auto"/>
          <w:sz w:val="24"/>
          <w:szCs w:val="24"/>
          <w:lang w:val="en-US" w:eastAsia="zh-CN"/>
        </w:rPr>
        <w:t>分别</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狐狸洞水（地下水）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已</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机井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拟扩</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主要建设内容包括：</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ascii="宋体" w:hAnsi="宋体" w:eastAsia="宋体" w:cs="宋体"/>
          <w:color w:val="auto"/>
          <w:sz w:val="24"/>
          <w:szCs w:val="24"/>
          <w:lang w:val="en-US" w:eastAsia="zh-CN"/>
        </w:rPr>
        <w:t>县城及工业园区管网改造及新建工程</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随着县城及工业园区的发展，覆盖范围将逐步增加，给水管网将同步完善；同时县城内的老旧管网使用时间较长，管径较小，漏损率较高，成为了城市供水的薄弱环节，在“十四五”期间，将逐步进行改造。</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农村管网改造工程</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农村自来水工程已过去近十年，有些管网已无法满足农村的用水要求，在“十四五”期间，需要根据实际情况及乡村振兴规划对农村自来水主管网进行逐步改造。</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进村入户工程</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前，德安县农村自来水入户率已达到85%以上，但仍有大量居民的未使用上自来水，进村入户工程的任务依然很艰巨，“十四五”期间，将对进村入户工程进行查缺补漏，通过管网延伸工程及加压站的建设，扩大进村入户工程的覆盖范围。</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扩建</w:t>
      </w:r>
      <w:r>
        <w:rPr>
          <w:rFonts w:hint="eastAsia" w:ascii="宋体" w:hAnsi="宋体" w:eastAsia="宋体" w:cs="宋体"/>
          <w:color w:val="auto"/>
          <w:sz w:val="24"/>
          <w:szCs w:val="24"/>
          <w:lang w:val="en-US" w:eastAsia="zh-CN"/>
        </w:rPr>
        <w:t>两座</w:t>
      </w:r>
      <w:r>
        <w:rPr>
          <w:rFonts w:hint="eastAsia" w:ascii="宋体" w:hAnsi="宋体" w:eastAsia="宋体" w:cs="宋体"/>
          <w:color w:val="auto"/>
          <w:sz w:val="24"/>
          <w:szCs w:val="24"/>
          <w:lang w:eastAsia="zh-CN"/>
        </w:rPr>
        <w:t>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1）、彭山水厂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前，彭山水厂为丰林工业园区水厂，主要供给工业园内生活用水，供水规模为1万m³/d。随着高塘影视小镇的实施，原有林泉水厂的水量无法满足需要，本次规划将对彭山水厂进行扩建，扩建规模为1万m³/d，建成后规模为2万m³/d。以博阳河为供水水源，与雁家湖水厂共用原水管道及取水泵房。</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2）、邹桥水厂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随着德安万年青项目的在爱民乡落地以及</w:t>
      </w:r>
      <w:r>
        <w:rPr>
          <w:rFonts w:hint="eastAsia" w:ascii="宋体" w:hAnsi="宋体" w:eastAsia="宋体" w:cs="宋体"/>
          <w:color w:val="auto"/>
          <w:sz w:val="24"/>
          <w:szCs w:val="24"/>
          <w:lang w:eastAsia="zh-CN"/>
        </w:rPr>
        <w:t>义门陈特色小镇的实施</w:t>
      </w:r>
      <w:r>
        <w:rPr>
          <w:rFonts w:hint="eastAsia" w:ascii="宋体" w:hAnsi="宋体" w:eastAsia="宋体" w:cs="宋体"/>
          <w:color w:val="auto"/>
          <w:sz w:val="24"/>
          <w:szCs w:val="24"/>
          <w:lang w:val="en-US" w:eastAsia="zh-CN"/>
        </w:rPr>
        <w:t>，对自来水的需要也越来越高，为满足万年青项目以及义门陈特色小镇项目的供水需要，规划对邹桥水厂进行扩建，扩建规模为3000m³/d，建成后，邹桥水厂总规模为5000m³/d。</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一大六小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lang w:eastAsia="zh-CN"/>
        </w:rPr>
        <w:t>个水厂，</w:t>
      </w:r>
      <w:r>
        <w:rPr>
          <w:rFonts w:hint="eastAsia" w:ascii="宋体" w:hAnsi="宋体" w:eastAsia="宋体" w:cs="宋体"/>
          <w:color w:val="auto"/>
          <w:sz w:val="24"/>
          <w:szCs w:val="24"/>
          <w:lang w:val="en-US" w:eastAsia="zh-CN"/>
        </w:rPr>
        <w:t>共建德安城乡供水网</w:t>
      </w:r>
    </w:p>
    <w:p>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规划至</w:t>
      </w:r>
      <w:r>
        <w:rPr>
          <w:rFonts w:hint="eastAsia" w:ascii="宋体" w:hAnsi="宋体" w:eastAsia="宋体" w:cs="宋体"/>
          <w:color w:val="auto"/>
          <w:sz w:val="24"/>
          <w:szCs w:val="24"/>
          <w:lang w:val="en-US" w:eastAsia="zh-CN"/>
        </w:rPr>
        <w:t>2025年，除偏远的塘山水厂外，各水厂直接采用连通管连同，中间设置控制阀，各水厂间可以相互备用，形成“一大六小”七个水厂组成的德安润泉城乡一体化工程。</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搭建全县农村智慧水务平台</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搭建自“水源-水厂-管网”全流程的在线智慧水务平台，并将信息集中输送至彭山水厂，彭水水厂作为信息管理中心，集中处理供水系统中的各种问题，统一调度，提高水厂的应急反应能力。</w:t>
      </w:r>
    </w:p>
    <w:p>
      <w:pPr>
        <w:keepNext w:val="0"/>
        <w:keepLines w:val="0"/>
        <w:pageBreakBefore w:val="0"/>
        <w:widowControl w:val="0"/>
        <w:numPr>
          <w:ilvl w:val="0"/>
          <w:numId w:val="10"/>
        </w:numPr>
        <w:tabs>
          <w:tab w:val="left" w:pos="9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备用水源</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面实现农村自来水全覆盖，全面提高农村自来水的供水保障能力。规划建设备用水源工程，随着木环水库的实施，将以木环水库作为备用水源，同步建设备用管网，同时与现有柳田夏家的原水管线向连通，可以同时保障雁家湖水厂与彭山水厂的原水供给。原水输水管线长11.5km。</w:t>
      </w: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bookmarkStart w:id="70" w:name="_Toc4959"/>
      <w:bookmarkStart w:id="71" w:name="_Toc13864"/>
      <w:r>
        <w:rPr>
          <w:rFonts w:hint="eastAsia" w:ascii="宋体" w:hAnsi="宋体" w:eastAsia="宋体" w:cs="宋体"/>
          <w:b/>
          <w:bCs/>
          <w:sz w:val="30"/>
          <w:szCs w:val="30"/>
          <w:lang w:val="en-US" w:eastAsia="zh-CN"/>
        </w:rPr>
        <w:t xml:space="preserve"> </w:t>
      </w:r>
      <w:bookmarkStart w:id="72" w:name="_Toc8603"/>
      <w:r>
        <w:rPr>
          <w:rFonts w:hint="eastAsia" w:ascii="宋体" w:hAnsi="宋体" w:eastAsia="宋体" w:cs="宋体"/>
          <w:b/>
          <w:bCs/>
          <w:sz w:val="30"/>
          <w:szCs w:val="30"/>
        </w:rPr>
        <w:t>建设标准与工程建设内容</w:t>
      </w:r>
      <w:bookmarkEnd w:id="66"/>
      <w:bookmarkEnd w:id="67"/>
      <w:bookmarkEnd w:id="70"/>
      <w:bookmarkEnd w:id="71"/>
      <w:bookmarkEnd w:id="72"/>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lang w:val="en-US" w:eastAsia="zh-CN"/>
        </w:rPr>
      </w:pPr>
      <w:bookmarkStart w:id="73" w:name="_Toc9882"/>
      <w:bookmarkStart w:id="74" w:name="_Toc24250"/>
      <w:bookmarkStart w:id="75" w:name="_Toc25855"/>
      <w:bookmarkStart w:id="76" w:name="_Toc312321576"/>
      <w:r>
        <w:rPr>
          <w:rFonts w:hint="eastAsia" w:ascii="宋体" w:hAnsi="宋体" w:eastAsia="宋体" w:cs="宋体"/>
          <w:b/>
          <w:bCs/>
          <w:kern w:val="2"/>
          <w:sz w:val="24"/>
          <w:szCs w:val="24"/>
          <w:lang w:val="en-US" w:eastAsia="zh-CN"/>
        </w:rPr>
        <w:t>建设标准</w:t>
      </w:r>
      <w:bookmarkEnd w:id="73"/>
    </w:p>
    <w:p>
      <w:pPr>
        <w:keepNext/>
        <w:keepLines/>
        <w:widowControl w:val="0"/>
        <w:numPr>
          <w:ilvl w:val="2"/>
          <w:numId w:val="1"/>
        </w:numPr>
        <w:spacing w:line="360" w:lineRule="auto"/>
        <w:jc w:val="both"/>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 工程建设标准</w:t>
      </w:r>
    </w:p>
    <w:p>
      <w:pPr>
        <w:adjustRightInd/>
        <w:snapToGrid/>
        <w:spacing w:line="360" w:lineRule="auto"/>
        <w:ind w:firstLine="560"/>
        <w:rPr>
          <w:rFonts w:hint="eastAsia" w:ascii="宋体" w:hAnsi="宋体" w:eastAsia="宋体" w:cs="宋体"/>
          <w:b w:val="0"/>
          <w:bCs w:val="0"/>
          <w:sz w:val="24"/>
          <w:szCs w:val="24"/>
        </w:rPr>
      </w:pPr>
      <w:r>
        <w:rPr>
          <w:rFonts w:hint="eastAsia" w:ascii="宋体" w:hAnsi="宋体" w:eastAsia="宋体" w:cs="宋体"/>
          <w:b w:val="0"/>
          <w:bCs w:val="0"/>
          <w:sz w:val="24"/>
          <w:szCs w:val="24"/>
        </w:rPr>
        <w:t>农村供水工程建设应结合当地实际，区别不同地区、不同工程规模、不同水源条件以及水处理工艺，合理确定建设水平。净水工艺和技术应该在满足供水水质的条件下，适应技术发展、先进、合理，并符合当地的实际。为降低工程的投资，对改建、扩建工程，要充分考虑利用原有设施的能力。</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1、供水水质：根据需要配备完善和规范使用水质净化消毒设施，使供水水质达到国家《生活饮用水卫生标准》（GB5749）要求。</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2、供水水量：综合考虑农户用水意愿、承受能力、人口流动等因素，城乡一体化供水工程供水规模参照《室外给水设计规范》（GB50013）和《村镇供水工程设计规范》（SL687）合理确定，农村供水工程参照SL687合理确定。一般平均最高日居民用水定额为：乡镇区100～140L/(人•d)、农村70～100L/(人•d)，有其它自备水源的可考虑取下限值或根据实际情况适当降低。</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3、水源保证率：水源保证率不低于95%；万人以下工程受水源限制时，应不低于90%。</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4、供水保证率：供水工程供水保证率不低于95%，万人以下工程受水源限制时，供水保证率应不低于90%。</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5、建筑物和管网：根据用水户需求和可能，集中供水工程原则上供水到户（院），规模化工程每天24小时不间断供水。供水工程各种构筑物和输配水管网建设应符合相关技术标准要求。</w:t>
      </w:r>
    </w:p>
    <w:p>
      <w:pPr>
        <w:keepNext/>
        <w:keepLines/>
        <w:widowControl w:val="0"/>
        <w:numPr>
          <w:ilvl w:val="2"/>
          <w:numId w:val="1"/>
        </w:numPr>
        <w:spacing w:line="360" w:lineRule="auto"/>
        <w:jc w:val="both"/>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 工程管理标准</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1、水价机制：农村集中供水工程全面建立水费收缴机制，执行水价达到供水运行成本，不足部分由财政补助。</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2、供水维修服务：千人以上供水单位按供水合同、协议等约定及时提供供水服务，公开服务电话、水价、维修服务事项等信息。对停水断水漏水等问题，因地制宜明确维修服务时限。</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3、专业化管理：万人工程推行企业化运营和专业化管理，千人工程要明确工程管理单位和责任人，落实管护经费，做好水源巡查、供水设施和管网维护。实行城乡供水一体化的县级行政区，推行县域农村供水工程统一管理；其它县级行政区，万人以上供水工程推行公司化运营和专业化管理，万人以下供水工程以乡镇为单位组建管理机构，统一管理。</w:t>
      </w:r>
    </w:p>
    <w:p>
      <w:pPr>
        <w:adjustRightInd/>
        <w:snapToGrid/>
        <w:spacing w:line="360" w:lineRule="auto"/>
        <w:ind w:firstLine="562"/>
        <w:rPr>
          <w:rFonts w:hint="eastAsia" w:ascii="宋体" w:hAnsi="宋体" w:eastAsia="宋体" w:cs="宋体"/>
          <w:b w:val="0"/>
          <w:bCs w:val="0"/>
          <w:sz w:val="24"/>
          <w:szCs w:val="24"/>
        </w:rPr>
      </w:pPr>
      <w:r>
        <w:rPr>
          <w:rFonts w:hint="eastAsia" w:ascii="宋体" w:hAnsi="宋体" w:eastAsia="宋体" w:cs="宋体"/>
          <w:b w:val="0"/>
          <w:bCs w:val="0"/>
          <w:sz w:val="24"/>
          <w:szCs w:val="24"/>
        </w:rPr>
        <w:t>4、用水户参与：工程规划设计、建设方式和管理模式，广泛征求用水户或用水户代表意见。农村集中供水工程用水户满意度超过90%。</w:t>
      </w:r>
    </w:p>
    <w:p>
      <w:pPr>
        <w:pStyle w:val="5"/>
        <w:keepNext/>
        <w:keepLines/>
        <w:pageBreakBefore w:val="0"/>
        <w:widowControl w:val="0"/>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宋体" w:hAnsi="宋体" w:eastAsia="宋体" w:cs="宋体"/>
          <w:b/>
          <w:bCs/>
          <w:kern w:val="2"/>
          <w:sz w:val="24"/>
          <w:szCs w:val="24"/>
          <w:lang w:val="en-US" w:eastAsia="zh-CN"/>
        </w:rPr>
      </w:pPr>
      <w:bookmarkStart w:id="77" w:name="_Toc1109"/>
      <w:r>
        <w:rPr>
          <w:rFonts w:hint="eastAsia" w:ascii="宋体" w:hAnsi="宋体" w:eastAsia="宋体" w:cs="宋体"/>
          <w:b/>
          <w:bCs/>
          <w:kern w:val="2"/>
          <w:sz w:val="24"/>
          <w:szCs w:val="24"/>
          <w:lang w:val="en-US" w:eastAsia="zh-CN"/>
        </w:rPr>
        <w:t>工程建设内容</w:t>
      </w:r>
      <w:bookmarkEnd w:id="74"/>
      <w:bookmarkEnd w:id="75"/>
      <w:bookmarkEnd w:id="77"/>
    </w:p>
    <w:p>
      <w:pPr>
        <w:adjustRightInd/>
        <w:snapToGrid/>
        <w:spacing w:line="360" w:lineRule="auto"/>
        <w:ind w:firstLine="56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主要包括规模化供水工程建设改造、小型供水工程建设改造等2类。条件较好的地区，优先发展城乡供水一体化和规模化供水工程。基础薄弱的地区，通过以大并小、小小联合，进一步减少小型工程数量。同时，对建设时间长（如2005年以前），存在净水工艺落后、管网材质较差（如PVC管）且管网漏损率较高的老旧工程进行更新改造。</w:t>
      </w:r>
    </w:p>
    <w:p>
      <w:pPr>
        <w:adjustRightInd/>
        <w:snapToGrid/>
        <w:spacing w:line="360" w:lineRule="auto"/>
        <w:ind w:firstLine="56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通过供水管网延伸、改造、配套、联网等措施，统筹解决部分地区因工程标准低、规模小、老化失修以及水污染、水源变化等造成的农村供水问题。集中供水工程全面配套完善水质净化消毒设施设备、进出厂水计量设备和“一户一表”（有条件的地区推进安装预付费智能水表）。千人以上工程全面推进水源保护区或保护范围划定，落实“划、立、治”措施。万人以上工程全面推进水质化验室、水质状况实时监测、信息自动化监控系统等建设。</w:t>
      </w:r>
    </w:p>
    <w:p>
      <w:pPr>
        <w:keepNext/>
        <w:keepLines/>
        <w:widowControl w:val="0"/>
        <w:numPr>
          <w:ilvl w:val="2"/>
          <w:numId w:val="1"/>
        </w:numPr>
        <w:spacing w:line="360" w:lineRule="auto"/>
        <w:jc w:val="both"/>
        <w:outlineLvl w:val="2"/>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主要建设内容</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规划至2025年，德安县城乡供水一体化工程共建成8座水厂，形成“一大一小”两个片区，分别为联合片区（含有7个水厂，分别为雁家湖水厂、林泉水厂、红桥水厂、磨溪水厂、车桥水厂、邹桥水厂、彭山水厂）以及塘山片区（含塘山水厂）。总设计供水规模为8.70万m³/d，其中农村地区设计供水规模为4.20万m³/d，新增供水规模为1.3万m³/d。</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1、联合片区--雁家湖水厂</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1）、对原有老旧管网进行改造，对已改造部分的管网进行查缺补漏，减少管网漏损；</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i w:val="0"/>
          <w:iCs w:val="0"/>
          <w:color w:val="auto"/>
          <w:sz w:val="24"/>
          <w:szCs w:val="24"/>
          <w:lang w:val="en-US" w:eastAsia="zh-CN"/>
        </w:rPr>
        <w:t>积极推进自来水进村入户“查缺补漏”工程</w:t>
      </w:r>
      <w:r>
        <w:rPr>
          <w:rFonts w:hint="eastAsia" w:ascii="宋体" w:hAnsi="宋体" w:eastAsia="宋体" w:cs="宋体"/>
          <w:color w:val="auto"/>
          <w:sz w:val="24"/>
          <w:szCs w:val="24"/>
          <w:lang w:val="en-US" w:eastAsia="zh-CN"/>
        </w:rPr>
        <w:t>；通过建设加压站，向偏远农村地区进行供水，扩大自来水的覆盖范围；</w:t>
      </w:r>
    </w:p>
    <w:p>
      <w:pPr>
        <w:autoSpaceDE w:val="0"/>
        <w:autoSpaceDN w:val="0"/>
        <w:adjustRightInd/>
        <w:snapToGrid/>
        <w:spacing w:line="360" w:lineRule="auto"/>
        <w:ind w:firstLine="560"/>
        <w:rPr>
          <w:rFonts w:hint="eastAsia"/>
          <w:color w:val="auto"/>
          <w:lang w:val="en-US" w:eastAsia="zh-CN"/>
        </w:rPr>
      </w:pPr>
      <w:r>
        <w:rPr>
          <w:rFonts w:hint="eastAsia" w:ascii="宋体" w:hAnsi="宋体" w:eastAsia="宋体" w:cs="宋体"/>
          <w:color w:val="auto"/>
          <w:sz w:val="24"/>
          <w:szCs w:val="24"/>
          <w:lang w:val="en-US" w:eastAsia="zh-CN"/>
        </w:rPr>
        <w:t>3）、建设雁家湖水厂回收水池以及干化场，减少滤后排水对水体的污染；</w:t>
      </w:r>
    </w:p>
    <w:p>
      <w:pPr>
        <w:autoSpaceDE w:val="0"/>
        <w:autoSpaceDN w:val="0"/>
        <w:adjustRightInd/>
        <w:snapToGrid/>
        <w:spacing w:line="360" w:lineRule="auto"/>
        <w:ind w:firstLine="560"/>
        <w:rPr>
          <w:rFonts w:hint="eastAsia" w:ascii="宋体" w:hAnsi="宋体" w:eastAsia="宋体" w:cs="宋体"/>
          <w:i w:val="0"/>
          <w:iCs w:val="0"/>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i w:val="0"/>
          <w:iCs w:val="0"/>
          <w:color w:val="auto"/>
          <w:sz w:val="24"/>
          <w:szCs w:val="24"/>
          <w:lang w:val="en-US" w:eastAsia="zh-CN"/>
        </w:rPr>
        <w:t>建设农村地区全流程在线监控系统，将信息传送至彭山水厂信息管理中心。</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5）、以</w:t>
      </w:r>
      <w:r>
        <w:rPr>
          <w:rFonts w:hint="eastAsia" w:ascii="宋体" w:hAnsi="宋体" w:eastAsia="宋体" w:cs="宋体"/>
          <w:color w:val="auto"/>
          <w:sz w:val="24"/>
          <w:szCs w:val="24"/>
          <w:lang w:val="en-US" w:eastAsia="zh-CN"/>
        </w:rPr>
        <w:t>木环水库</w:t>
      </w:r>
      <w:r>
        <w:rPr>
          <w:rFonts w:hint="eastAsia" w:ascii="宋体" w:hAnsi="宋体" w:eastAsia="宋体" w:cs="宋体"/>
          <w:b w:val="0"/>
          <w:bCs w:val="0"/>
          <w:color w:val="auto"/>
          <w:sz w:val="24"/>
          <w:szCs w:val="24"/>
          <w:lang w:val="en-US" w:eastAsia="zh-CN"/>
        </w:rPr>
        <w:t>为备用水源，建设11.5Km原水输水管线，形成双水源供水。</w:t>
      </w:r>
    </w:p>
    <w:p>
      <w:pPr>
        <w:autoSpaceDE w:val="0"/>
        <w:autoSpaceDN w:val="0"/>
        <w:adjustRightInd/>
        <w:snapToGrid/>
        <w:spacing w:line="360" w:lineRule="auto"/>
        <w:ind w:firstLine="560"/>
        <w:rPr>
          <w:rFonts w:hint="default"/>
          <w:lang w:val="en-US" w:eastAsia="zh-CN"/>
        </w:rPr>
      </w:pPr>
      <w:r>
        <w:rPr>
          <w:rFonts w:hint="eastAsia"/>
          <w:lang w:val="en-US" w:eastAsia="zh-CN"/>
        </w:rPr>
        <w:t>6）、</w:t>
      </w:r>
      <w:r>
        <w:rPr>
          <w:rFonts w:hint="eastAsia" w:ascii="宋体" w:hAnsi="宋体" w:eastAsia="宋体" w:cs="宋体"/>
          <w:color w:val="auto"/>
          <w:sz w:val="24"/>
          <w:szCs w:val="24"/>
          <w:lang w:val="en-US" w:eastAsia="zh-CN"/>
        </w:rPr>
        <w:t>随着县城及工业园区的发展，覆盖范围将逐步增加，给水管网将同步完善；</w:t>
      </w:r>
    </w:p>
    <w:p>
      <w:pPr>
        <w:pStyle w:val="2"/>
        <w:ind w:left="0" w:leftChars="0"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雁家湖水厂，采用的水源为既有水源，增设备用水源，建设水质状况实时监测系统1处，信息自动化监控系统1处，新建备用水源原水管线11.5KM，新建村头以上管网30km，更新村头以上管网19.2km；新建村内管网4.3Km，更新村内管网10km，进出厂水表装置1块，入户水表511块。</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2、联合片区--林泉水厂</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1）、对原有老旧管网进行改造，对已改造部分的管网进行查缺补漏，减少管网漏损；</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2）、积极推进自来水进村入户“查缺补漏”工程；通过建设加压站，向偏远农村地区进行供水，扩大自来水的覆盖范围；</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3）、建设水厂全流程在线监控系统，将信息传送至彭山水厂信息管理中心。</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color w:val="auto"/>
          <w:sz w:val="24"/>
          <w:szCs w:val="24"/>
          <w:lang w:val="en-US" w:eastAsia="zh-CN"/>
        </w:rPr>
        <w:t>林泉水厂，采用的水源为既有水源，建设水质状况实时监测系统1处，信息自动化监控系统1处，新建村头以上管网0km，更新村头以上管网4.0km；新建村内管网0Km，更新村内管网5.3km，进出厂水表装置1块，入户水表120块。</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w:t>
      </w:r>
      <w:r>
        <w:rPr>
          <w:rFonts w:hint="eastAsia" w:ascii="宋体" w:hAnsi="宋体" w:eastAsia="宋体" w:cs="宋体"/>
          <w:color w:val="auto"/>
          <w:sz w:val="24"/>
          <w:szCs w:val="24"/>
          <w:lang w:val="en-US" w:eastAsia="zh-CN"/>
        </w:rPr>
        <w:t>联合片区--</w:t>
      </w:r>
      <w:r>
        <w:rPr>
          <w:rFonts w:hint="eastAsia" w:ascii="宋体" w:hAnsi="宋体" w:eastAsia="宋体" w:cs="宋体"/>
          <w:i w:val="0"/>
          <w:iCs w:val="0"/>
          <w:color w:val="auto"/>
          <w:sz w:val="24"/>
          <w:szCs w:val="24"/>
          <w:lang w:val="en-US" w:eastAsia="zh-CN"/>
        </w:rPr>
        <w:t>彭山水厂</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1）、扩建彭山水厂，以博阳河为水源，与雁家湖水厂共用原水管线，新增设计供水规模为1万m³/d。</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2）、逐步完成彭山水厂配水管网，并与现状管网完成并网；</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w:t>
      </w:r>
      <w:r>
        <w:rPr>
          <w:rFonts w:hint="eastAsia" w:ascii="宋体" w:hAnsi="宋体" w:eastAsia="宋体" w:cs="宋体"/>
          <w:color w:val="auto"/>
          <w:sz w:val="24"/>
          <w:szCs w:val="24"/>
          <w:lang w:val="en-US" w:eastAsia="zh-CN"/>
        </w:rPr>
        <w:t>在彭山水厂建设全县农村自来水信息管理中心</w:t>
      </w:r>
      <w:r>
        <w:rPr>
          <w:rFonts w:hint="eastAsia" w:ascii="宋体" w:hAnsi="宋体" w:eastAsia="宋体" w:cs="宋体"/>
          <w:i w:val="0"/>
          <w:iCs w:val="0"/>
          <w:color w:val="auto"/>
          <w:sz w:val="24"/>
          <w:szCs w:val="24"/>
          <w:lang w:val="en-US" w:eastAsia="zh-CN"/>
        </w:rPr>
        <w:t>、化验室以及运维调度中心。</w:t>
      </w:r>
      <w:r>
        <w:rPr>
          <w:rFonts w:hint="eastAsia" w:ascii="宋体" w:hAnsi="宋体" w:eastAsia="宋体" w:cs="宋体"/>
          <w:color w:val="auto"/>
          <w:sz w:val="24"/>
          <w:szCs w:val="24"/>
          <w:lang w:val="en-US" w:eastAsia="zh-CN"/>
        </w:rPr>
        <w:t>建成“水源-水厂-配水管网-加压站”全流程的自动化控制的智慧水务平台平台后，可以对供水过程中的问题及时反馈，快速应对。</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彭山水厂，采用的水源为既有水源，建设水质状况实时监测系统1处，信息自动化监控系统1处，新建村头以上管网5km，更新村头以上管网20km；新建村内管网14Km，更新村内管网21km，进出厂水表装置0块，入户水表245块。</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4、联合片区--红桥水厂</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1）、对原有老旧管网进行改造，对已改造部分的管网进行查缺补漏，减少管网漏损；</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2）、积极推进自来水进村入户“查缺补漏”工程；通过建设加压站，向偏远农村地区进行供水，扩大自来水的覆盖范围；</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3）、建设水厂全流程在线监控系统，将信息传送至彭山水厂信息管理中心。</w:t>
      </w:r>
    </w:p>
    <w:p>
      <w:pPr>
        <w:pStyle w:val="2"/>
        <w:ind w:left="0" w:leftChars="0"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红桥水厂，采用的水源为既有水源，建设水质状况实时监测系统1处，信息自动化监控系统1处，新建村头以上管网3km，更新村头以上管网5.8km；新建村内管网5.3Km，更新村内管网13.6km，进出厂水表装置1块，入户水表565块。</w:t>
      </w:r>
    </w:p>
    <w:p>
      <w:pPr>
        <w:pStyle w:val="2"/>
        <w:ind w:left="0" w:leftChars="0" w:firstLine="480" w:firstLineChars="20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5、联合片区--邹桥水厂</w:t>
      </w:r>
    </w:p>
    <w:p>
      <w:pPr>
        <w:pStyle w:val="2"/>
        <w:ind w:left="0" w:leftChars="0" w:firstLine="480" w:firstLineChars="200"/>
        <w:jc w:val="left"/>
        <w:rPr>
          <w:rFonts w:hint="default"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1）、对现有水厂进行扩建，现有规模2000m³/d，扩建后达到5000m³/d，同时配套更新原水管线以及配水主管。</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2）、对原有老旧管网进行改造，对已改造部分的管网进行查缺补漏，减少管网漏损；</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3）、积极推进自来水进村入户“查缺补漏”工程；通过建设加压站，向偏远农村地区进行供水，扩大自来水的覆盖范围；</w:t>
      </w:r>
    </w:p>
    <w:p>
      <w:pPr>
        <w:autoSpaceDE w:val="0"/>
        <w:autoSpaceDN w:val="0"/>
        <w:adjustRightInd/>
        <w:snapToGrid/>
        <w:spacing w:line="360" w:lineRule="auto"/>
        <w:ind w:firstLine="560"/>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4）、建设水厂全流程在线监控系统，将信息传送至彭山水厂信息管理中心。</w:t>
      </w:r>
    </w:p>
    <w:p>
      <w:pPr>
        <w:pStyle w:val="2"/>
        <w:ind w:left="0" w:leftChars="0"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邹桥水厂，采用的水源为既有水源，更新水质净化设施1处，消毒设施1处，建设水质状况实时监测系统1处，信息自动化监控系统1处，新建输水管线1.0km，新建村头以上管网4km，更新村头以上管网6.5km；新建村内管网7.7Km，更新村内管网18.0km，进出厂水表装置3块，入户水表269块。</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6、联合片区--车桥水厂</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1）、对原有老旧管网进行改造，对已改造部分的管网进行查缺补漏，减少管网漏损；</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2）、极推进自来水进村入户“查缺补漏”工程；通过建设加压站，向偏远农村地区进行供水，扩大自来水的覆盖范围；</w:t>
      </w:r>
    </w:p>
    <w:p>
      <w:pPr>
        <w:pStyle w:val="2"/>
        <w:ind w:left="0" w:leftChars="0" w:firstLine="480" w:firstLineChars="200"/>
        <w:jc w:val="left"/>
        <w:rPr>
          <w:rFonts w:hint="default"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3）、建立水源保护区</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4）、建设水厂全流程在线监控系统，将信息传送至彭山水厂信息管理中心。</w:t>
      </w:r>
    </w:p>
    <w:p>
      <w:pPr>
        <w:pStyle w:val="2"/>
        <w:ind w:left="0" w:leftChars="0" w:firstLine="480" w:firstLineChars="200"/>
        <w:jc w:val="left"/>
        <w:rPr>
          <w:rFonts w:hint="eastAsia"/>
          <w:color w:val="auto"/>
          <w:lang w:val="en-US" w:eastAsia="zh-CN"/>
        </w:rPr>
      </w:pPr>
      <w:r>
        <w:rPr>
          <w:rFonts w:hint="eastAsia" w:ascii="宋体" w:hAnsi="宋体" w:eastAsia="宋体" w:cs="宋体"/>
          <w:color w:val="auto"/>
          <w:sz w:val="24"/>
          <w:szCs w:val="24"/>
          <w:lang w:val="en-US" w:eastAsia="zh-CN"/>
        </w:rPr>
        <w:t>车桥水厂，采用的水源为既有水源，划</w:t>
      </w:r>
      <w:r>
        <w:rPr>
          <w:rFonts w:hint="eastAsia" w:ascii="宋体" w:hAnsi="宋体" w:eastAsia="宋体" w:cs="宋体"/>
          <w:i w:val="0"/>
          <w:iCs w:val="0"/>
          <w:color w:val="auto"/>
          <w:sz w:val="24"/>
          <w:szCs w:val="24"/>
          <w:lang w:val="en-US" w:eastAsia="zh-CN"/>
        </w:rPr>
        <w:t>、</w:t>
      </w:r>
      <w:r>
        <w:rPr>
          <w:rFonts w:hint="eastAsia" w:ascii="宋体" w:hAnsi="宋体" w:eastAsia="宋体" w:cs="宋体"/>
          <w:color w:val="auto"/>
          <w:sz w:val="24"/>
          <w:szCs w:val="24"/>
          <w:lang w:val="en-US" w:eastAsia="zh-CN"/>
        </w:rPr>
        <w:t>立</w:t>
      </w:r>
      <w:r>
        <w:rPr>
          <w:rFonts w:hint="eastAsia" w:ascii="宋体" w:hAnsi="宋体" w:eastAsia="宋体" w:cs="宋体"/>
          <w:i w:val="0"/>
          <w:iCs w:val="0"/>
          <w:color w:val="auto"/>
          <w:sz w:val="24"/>
          <w:szCs w:val="24"/>
          <w:lang w:val="en-US" w:eastAsia="zh-CN"/>
        </w:rPr>
        <w:t>、</w:t>
      </w:r>
      <w:r>
        <w:rPr>
          <w:rFonts w:hint="eastAsia" w:ascii="宋体" w:hAnsi="宋体" w:eastAsia="宋体" w:cs="宋体"/>
          <w:color w:val="auto"/>
          <w:sz w:val="24"/>
          <w:szCs w:val="24"/>
          <w:lang w:val="en-US" w:eastAsia="zh-CN"/>
        </w:rPr>
        <w:t>治1处水源保护区，建设水质状况实时监测系统1处，信息自动化监控系统1处，新建村头以上管网2km，更新村头以上管网3km；新建村内管网2.7Km，更新村内管网4.0km，进出厂水表装置1块，入户水表100块。</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7、联合片区--磨溪水厂</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1）、对原有老旧管网进行改造，对已改造部分的管网进行查缺补漏，减少管网漏损；</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2）、极推进自来水进村入户“查缺补漏”工程；通过建设加压站，向偏远农村地区进行供水，扩大自来水的覆盖范围；</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3）、建设水厂全流程在线监控系统，将信息传送至彭山水厂信息管理中心。</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color w:val="auto"/>
          <w:sz w:val="24"/>
          <w:szCs w:val="24"/>
          <w:lang w:val="en-US" w:eastAsia="zh-CN"/>
        </w:rPr>
        <w:t>磨溪水厂，采用的水源为既有水源，建设水质状况实时监测系统1处，信息自动化监控系统1处，新建村头以上管网3km，更新村头以上管网2km；新建村内管网3.3Km，更新村内管网6.7km，进出厂水表装置1块，入户水表150块。</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8、塘山片区--塘山水厂</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1）、建设一处取水机井，提高水源保障率</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2）、对原有老旧管网进行改造，对已改造部分的管网进行查缺补漏，减少管网漏损；</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3）、极推进自来水进村入户“查缺补漏”工程；通过建设加压站，向偏远农村地区进行供水，扩大自来水的覆盖范围；</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4）、建设水厂全流程在线监控系统，将信息传送至彭山水厂信息管理中心。</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5）、建立水源保护区。</w:t>
      </w:r>
    </w:p>
    <w:p>
      <w:pPr>
        <w:pStyle w:val="2"/>
        <w:ind w:left="0" w:leftChars="0" w:firstLine="480" w:firstLineChars="200"/>
        <w:jc w:val="left"/>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塘山水厂，</w:t>
      </w:r>
      <w:r>
        <w:rPr>
          <w:rFonts w:hint="eastAsia" w:ascii="宋体" w:hAnsi="宋体" w:eastAsia="宋体" w:cs="宋体"/>
          <w:color w:val="auto"/>
          <w:sz w:val="24"/>
          <w:szCs w:val="24"/>
          <w:lang w:val="en-US" w:eastAsia="zh-CN"/>
        </w:rPr>
        <w:t>新建取水机井1座，划</w:t>
      </w:r>
      <w:r>
        <w:rPr>
          <w:rFonts w:hint="eastAsia" w:ascii="宋体" w:hAnsi="宋体" w:eastAsia="宋体" w:cs="宋体"/>
          <w:i w:val="0"/>
          <w:iCs w:val="0"/>
          <w:color w:val="auto"/>
          <w:sz w:val="24"/>
          <w:szCs w:val="24"/>
          <w:lang w:val="en-US" w:eastAsia="zh-CN"/>
        </w:rPr>
        <w:t>、</w:t>
      </w:r>
      <w:r>
        <w:rPr>
          <w:rFonts w:hint="eastAsia" w:ascii="宋体" w:hAnsi="宋体" w:eastAsia="宋体" w:cs="宋体"/>
          <w:color w:val="auto"/>
          <w:sz w:val="24"/>
          <w:szCs w:val="24"/>
          <w:lang w:val="en-US" w:eastAsia="zh-CN"/>
        </w:rPr>
        <w:t>立</w:t>
      </w:r>
      <w:r>
        <w:rPr>
          <w:rFonts w:hint="eastAsia" w:ascii="宋体" w:hAnsi="宋体" w:eastAsia="宋体" w:cs="宋体"/>
          <w:i w:val="0"/>
          <w:iCs w:val="0"/>
          <w:color w:val="auto"/>
          <w:sz w:val="24"/>
          <w:szCs w:val="24"/>
          <w:lang w:val="en-US" w:eastAsia="zh-CN"/>
        </w:rPr>
        <w:t>、</w:t>
      </w:r>
      <w:r>
        <w:rPr>
          <w:rFonts w:hint="eastAsia" w:ascii="宋体" w:hAnsi="宋体" w:eastAsia="宋体" w:cs="宋体"/>
          <w:color w:val="auto"/>
          <w:sz w:val="24"/>
          <w:szCs w:val="24"/>
          <w:lang w:val="en-US" w:eastAsia="zh-CN"/>
        </w:rPr>
        <w:t>治1处水源保护区，建设水质状况实时监测系统1处，信息自动化监控系统1处，新建输水管线0.5米，新建村头以上管网3km，更新村头以上管网1.7km；新建村内管网5.9Km，更新村内管网8.9km，进出厂水表装置1块，入户水表342块。</w:t>
      </w:r>
    </w:p>
    <w:p>
      <w:pPr>
        <w:keepNext/>
        <w:keepLines/>
        <w:widowControl w:val="0"/>
        <w:numPr>
          <w:ilvl w:val="2"/>
          <w:numId w:val="1"/>
        </w:numPr>
        <w:spacing w:line="360" w:lineRule="auto"/>
        <w:jc w:val="both"/>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 总体规划指标</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规划至2025年，自来水供水规模为8.70万m³/d，其中农村地区设计供水规模为2.70万m³/d，新增供水规模为1.30万m³/d。</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覆盖供水人口：1）、全县覆盖供水人口16.5932万人，其中城市供水工程覆盖供水人口为8.5254万人，农村规模化供水工程覆盖人口7.7174万人，分散供水工程3504人；2）、农村地区覆盖供水人口10.9618万人，其中城市供水工程覆盖供水人口为2.8940万人，农村规模化供水工程覆盖人口7.7174万人，分散供水工程3504人。</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来水供水人口：1）、全县自来水供水人口16.2428万人，其中城市供水工程覆盖供水人口为8.5254万人，农村规模化供水工程覆盖人口7.7174万人；2）、农村地区覆盖供水人口10.6114万人，其中城市供水工程覆盖供水人口为2.8940万人，农村规模化供水工程覆盖人口7.7174万人。</w:t>
      </w:r>
    </w:p>
    <w:p>
      <w:pPr>
        <w:autoSpaceDE w:val="0"/>
        <w:autoSpaceDN w:val="0"/>
        <w:adjustRightInd/>
        <w:snapToGrid/>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全县集中供水率为97.89%，农村集中供水率为96.80%。全县自来水普及率为97.89%，农村自来水普及率为96.80%，农村供水水质达标率96.80%，水源保护区划定率100%，自然村通水率95.45%。</w:t>
      </w:r>
    </w:p>
    <w:p>
      <w:pPr>
        <w:adjustRightInd/>
        <w:snapToGrid/>
        <w:spacing w:line="360" w:lineRule="auto"/>
        <w:ind w:firstLine="56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1、城市供水工程1处（其中，管网延伸0处、改造1处、新建0处），新增供水能力0m3/d，工程受益人口8.5254万人，新增受益人口0.21万人；</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2、农村规模化供水工程7处（其中，管网延伸0处、改造7处、新建0处），新增供水能力13000m3/d，工程受益人口7.7174万人，新增受益人口1.38万人；</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3、水源新建0处，取水工程新建1处（备用水源）、改造1处；</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4、水质净化设施新建0处、更新配套2处，消毒设施新建0台、更新配套2台；</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5、输水管网新建13.0km、更新改造0.0km，配水管网（村头以上）新建50.0km、更新改造62.2km；配水管网（村内以上）新建43.2km、更新改造87.5km；</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6、进出厂水计量装置7块，入户水表安装2302块；</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7、水质化验室建设1处，水质状况实时监测建设7处，信息自动化监控系统建设7处；</w:t>
      </w:r>
    </w:p>
    <w:p>
      <w:pPr>
        <w:autoSpaceDE w:val="0"/>
        <w:autoSpaceDN w:val="0"/>
        <w:adjustRightInd/>
        <w:snapToGrid/>
        <w:spacing w:line="360" w:lineRule="auto"/>
        <w:ind w:firstLine="56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8、划定水源保护区1处。</w:t>
      </w:r>
    </w:p>
    <w:bookmarkEnd w:id="76"/>
    <w:p>
      <w:pPr>
        <w:pStyle w:val="5"/>
        <w:adjustRightInd/>
        <w:snapToGrid/>
        <w:spacing w:line="360" w:lineRule="auto"/>
        <w:ind w:firstLine="562" w:firstLineChars="200"/>
        <w:rPr>
          <w:rFonts w:hint="eastAsia" w:ascii="宋体" w:hAnsi="宋体" w:eastAsia="宋体" w:cs="宋体"/>
          <w:b/>
          <w:bCs/>
          <w:color w:val="auto"/>
          <w:sz w:val="28"/>
          <w:szCs w:val="28"/>
        </w:rPr>
      </w:pPr>
      <w:bookmarkStart w:id="78" w:name="_Toc3737"/>
      <w:bookmarkStart w:id="79" w:name="_Toc31272"/>
      <w:r>
        <w:rPr>
          <w:rFonts w:hint="eastAsia" w:ascii="宋体" w:hAnsi="宋体" w:eastAsia="宋体" w:cs="宋体"/>
          <w:b/>
          <w:bCs/>
          <w:color w:val="auto"/>
          <w:sz w:val="28"/>
          <w:szCs w:val="28"/>
        </w:rPr>
        <w:t xml:space="preserve"> </w:t>
      </w:r>
      <w:bookmarkStart w:id="80" w:name="_Toc8624"/>
      <w:r>
        <w:rPr>
          <w:rFonts w:hint="eastAsia" w:ascii="宋体" w:hAnsi="宋体" w:eastAsia="宋体" w:cs="宋体"/>
          <w:b/>
          <w:bCs/>
          <w:color w:val="auto"/>
          <w:sz w:val="28"/>
          <w:szCs w:val="28"/>
        </w:rPr>
        <w:t>典型工程设计</w:t>
      </w:r>
      <w:bookmarkEnd w:id="78"/>
      <w:bookmarkEnd w:id="79"/>
      <w:bookmarkEnd w:id="80"/>
    </w:p>
    <w:p>
      <w:pPr>
        <w:ind w:firstLine="480" w:firstLineChars="200"/>
        <w:rPr>
          <w:rFonts w:hint="eastAsia" w:ascii="宋体" w:hAnsi="宋体"/>
          <w:sz w:val="24"/>
        </w:rPr>
      </w:pPr>
      <w:r>
        <w:rPr>
          <w:rFonts w:hint="eastAsia" w:ascii="宋体" w:hAnsi="宋体"/>
          <w:sz w:val="24"/>
        </w:rPr>
        <w:t>本次</w:t>
      </w:r>
      <w:r>
        <w:rPr>
          <w:rFonts w:hint="eastAsia" w:ascii="宋体" w:hAnsi="宋体"/>
          <w:sz w:val="24"/>
          <w:lang w:val="en-US" w:eastAsia="zh-CN"/>
        </w:rPr>
        <w:t>德安县</w:t>
      </w:r>
      <w:r>
        <w:rPr>
          <w:rFonts w:hint="eastAsia" w:ascii="宋体" w:hAnsi="宋体"/>
          <w:sz w:val="24"/>
        </w:rPr>
        <w:t>“</w:t>
      </w:r>
      <w:r>
        <w:rPr>
          <w:rFonts w:hint="eastAsia" w:ascii="宋体" w:hAnsi="宋体"/>
          <w:sz w:val="24"/>
          <w:lang w:val="en-US" w:eastAsia="zh-CN"/>
        </w:rPr>
        <w:t>十四五</w:t>
      </w:r>
      <w:r>
        <w:rPr>
          <w:rFonts w:hint="eastAsia" w:ascii="宋体" w:hAnsi="宋体"/>
          <w:sz w:val="24"/>
        </w:rPr>
        <w:t>”规划通过以点带面，采取典型工程法拟定全县农村</w:t>
      </w:r>
      <w:r>
        <w:rPr>
          <w:rFonts w:hint="eastAsia" w:ascii="宋体" w:hAnsi="宋体"/>
          <w:sz w:val="24"/>
          <w:lang w:val="en-US" w:eastAsia="zh-CN"/>
        </w:rPr>
        <w:t>供水</w:t>
      </w:r>
      <w:r>
        <w:rPr>
          <w:rFonts w:hint="eastAsia" w:ascii="宋体" w:hAnsi="宋体"/>
          <w:sz w:val="24"/>
        </w:rPr>
        <w:t>工程的投资规模。</w:t>
      </w:r>
    </w:p>
    <w:p>
      <w:pPr>
        <w:ind w:firstLine="480" w:firstLineChars="200"/>
        <w:rPr>
          <w:rFonts w:hint="eastAsia" w:ascii="宋体" w:hAnsi="宋体"/>
          <w:sz w:val="24"/>
        </w:rPr>
      </w:pPr>
      <w:r>
        <w:rPr>
          <w:rFonts w:hint="eastAsia" w:ascii="宋体" w:hAnsi="宋体"/>
          <w:sz w:val="24"/>
        </w:rPr>
        <w:t>典型工程是进行项目工程量与投资估算的基础和依据，应依据供水范围的水资源条件、工程建设条件、经济条件、管理条件、电源条件、供水方式、用水条件、水文工程地质、水源水量及水质等资料，选取具有代表性的或参照已建同类工程作为典型自来水工程规划设计。</w:t>
      </w:r>
    </w:p>
    <w:p>
      <w:pPr>
        <w:ind w:firstLine="480" w:firstLineChars="200"/>
        <w:rPr>
          <w:rFonts w:hint="eastAsia" w:ascii="宋体" w:hAnsi="宋体"/>
          <w:sz w:val="24"/>
        </w:rPr>
      </w:pPr>
      <w:r>
        <w:rPr>
          <w:rFonts w:hint="eastAsia" w:ascii="宋体" w:hAnsi="宋体"/>
          <w:sz w:val="24"/>
        </w:rPr>
        <w:t>根据</w:t>
      </w:r>
      <w:r>
        <w:rPr>
          <w:rFonts w:hint="eastAsia" w:ascii="宋体" w:hAnsi="宋体"/>
          <w:sz w:val="24"/>
          <w:lang w:val="en-US" w:eastAsia="zh-CN"/>
        </w:rPr>
        <w:t>德安县</w:t>
      </w:r>
      <w:r>
        <w:rPr>
          <w:rFonts w:hint="eastAsia" w:ascii="宋体" w:hAnsi="宋体"/>
          <w:sz w:val="24"/>
        </w:rPr>
        <w:t>实际情况，选取</w:t>
      </w:r>
      <w:r>
        <w:rPr>
          <w:rFonts w:hint="eastAsia" w:ascii="宋体" w:hAnsi="宋体"/>
          <w:sz w:val="24"/>
          <w:lang w:val="en-US" w:eastAsia="zh-CN"/>
        </w:rPr>
        <w:t>已实施的德安县2019年农村饮水安全巩固提升工程配水主管网改造项目</w:t>
      </w:r>
      <w:r>
        <w:rPr>
          <w:rFonts w:hint="eastAsia" w:ascii="宋体" w:hAnsi="宋体" w:eastAsia="宋体" w:cs="宋体"/>
          <w:kern w:val="0"/>
          <w:sz w:val="24"/>
          <w:szCs w:val="24"/>
          <w:lang w:val="en-US" w:eastAsia="zh-CN"/>
        </w:rPr>
        <w:t>、德安县农村饮水安全巩固提升工程（进村入户项目）、</w:t>
      </w:r>
      <w:r>
        <w:rPr>
          <w:rFonts w:hint="eastAsia" w:ascii="宋体" w:hAnsi="宋体"/>
          <w:sz w:val="24"/>
          <w:lang w:val="en-US" w:eastAsia="zh-CN"/>
        </w:rPr>
        <w:t>德安县城乡一体化供水工程——彭山水厂工程</w:t>
      </w:r>
      <w:r>
        <w:rPr>
          <w:rFonts w:hint="eastAsia" w:ascii="宋体" w:hAnsi="宋体"/>
          <w:sz w:val="24"/>
        </w:rPr>
        <w:t>。</w:t>
      </w:r>
    </w:p>
    <w:p>
      <w:pPr>
        <w:numPr>
          <w:ilvl w:val="0"/>
          <w:numId w:val="11"/>
        </w:numPr>
        <w:ind w:firstLine="480" w:firstLineChars="200"/>
        <w:rPr>
          <w:rFonts w:hint="eastAsia" w:ascii="宋体" w:hAnsi="宋体" w:eastAsia="宋体" w:cs="宋体"/>
          <w:b/>
          <w:bCs/>
          <w:kern w:val="0"/>
          <w:sz w:val="24"/>
          <w:szCs w:val="24"/>
          <w:lang w:val="en-US" w:eastAsia="zh-CN"/>
        </w:rPr>
      </w:pPr>
      <w:r>
        <w:rPr>
          <w:rFonts w:hint="eastAsia" w:ascii="宋体" w:hAnsi="宋体"/>
          <w:sz w:val="24"/>
          <w:lang w:val="en-US" w:eastAsia="zh-CN"/>
        </w:rPr>
        <w:t>德安县2019年农村饮水安全巩固提升工程配水主管网改造项目</w:t>
      </w:r>
    </w:p>
    <w:p>
      <w:pPr>
        <w:spacing w:line="360" w:lineRule="auto"/>
        <w:ind w:firstLine="480" w:firstLineChars="200"/>
        <w:rPr>
          <w:rFonts w:hint="eastAsia" w:ascii="Times New Roman" w:hAnsi="Times New Roman"/>
          <w:b/>
          <w:color w:val="auto"/>
          <w:sz w:val="24"/>
        </w:rPr>
      </w:pPr>
      <w:r>
        <w:rPr>
          <w:rFonts w:hint="eastAsia" w:ascii="Times New Roman" w:hAnsi="Times New Roman"/>
          <w:b/>
          <w:color w:val="auto"/>
          <w:sz w:val="24"/>
          <w:lang w:val="en-US" w:eastAsia="zh-CN"/>
        </w:rPr>
        <w:t>1</w:t>
      </w:r>
      <w:r>
        <w:rPr>
          <w:rFonts w:hint="eastAsia" w:ascii="Times New Roman" w:hAnsi="Times New Roman"/>
          <w:b/>
          <w:color w:val="auto"/>
          <w:sz w:val="24"/>
          <w:lang w:eastAsia="zh-CN"/>
        </w:rPr>
        <w:t>）</w:t>
      </w:r>
      <w:r>
        <w:rPr>
          <w:rFonts w:hint="eastAsia" w:ascii="Times New Roman" w:hAnsi="Times New Roman"/>
          <w:b/>
          <w:color w:val="auto"/>
          <w:sz w:val="24"/>
        </w:rPr>
        <w:t>、设计供水范围和设计年限</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rPr>
        <w:t>本工程设计年限按</w:t>
      </w:r>
      <w:r>
        <w:rPr>
          <w:rFonts w:hint="eastAsia" w:ascii="Times New Roman" w:hAnsi="Times New Roman"/>
          <w:color w:val="auto"/>
          <w:sz w:val="24"/>
          <w:lang w:val="en-US" w:eastAsia="zh-CN"/>
        </w:rPr>
        <w:t>5</w:t>
      </w:r>
      <w:r>
        <w:rPr>
          <w:rFonts w:hint="eastAsia" w:ascii="Times New Roman" w:hAnsi="Times New Roman"/>
          <w:color w:val="auto"/>
          <w:sz w:val="24"/>
        </w:rPr>
        <w:t>年考虑，以20</w:t>
      </w:r>
      <w:r>
        <w:rPr>
          <w:rFonts w:hint="eastAsia" w:ascii="Times New Roman" w:hAnsi="Times New Roman"/>
          <w:color w:val="auto"/>
          <w:sz w:val="24"/>
          <w:lang w:val="en-US" w:eastAsia="zh-CN"/>
        </w:rPr>
        <w:t>20</w:t>
      </w:r>
      <w:r>
        <w:rPr>
          <w:rFonts w:hint="eastAsia" w:ascii="Times New Roman" w:hAnsi="Times New Roman"/>
          <w:color w:val="auto"/>
          <w:sz w:val="24"/>
        </w:rPr>
        <w:t>年为现状水平年，以20</w:t>
      </w:r>
      <w:r>
        <w:rPr>
          <w:rFonts w:hint="eastAsia" w:ascii="Times New Roman" w:hAnsi="Times New Roman"/>
          <w:color w:val="auto"/>
          <w:sz w:val="24"/>
          <w:lang w:val="en-US" w:eastAsia="zh-CN"/>
        </w:rPr>
        <w:t>25</w:t>
      </w:r>
      <w:r>
        <w:rPr>
          <w:rFonts w:hint="eastAsia" w:ascii="Times New Roman" w:hAnsi="Times New Roman"/>
          <w:color w:val="auto"/>
          <w:sz w:val="24"/>
        </w:rPr>
        <w:t>年为设计水平年。</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针对林泉、车桥、邹桥、磨溪自来水工程进行巩固提升建设，进一步提高该工程水质达标率等，保障供水安全。</w:t>
      </w:r>
    </w:p>
    <w:p>
      <w:pPr>
        <w:spacing w:line="360" w:lineRule="auto"/>
        <w:ind w:firstLine="480" w:firstLineChars="200"/>
        <w:rPr>
          <w:rFonts w:hint="eastAsia" w:ascii="Times New Roman" w:hAnsi="Times New Roman"/>
          <w:b/>
          <w:color w:val="auto"/>
          <w:sz w:val="24"/>
        </w:rPr>
      </w:pPr>
      <w:r>
        <w:rPr>
          <w:rFonts w:hint="eastAsia" w:ascii="Times New Roman" w:hAnsi="Times New Roman"/>
          <w:b/>
          <w:color w:val="auto"/>
          <w:sz w:val="24"/>
          <w:lang w:val="en-US" w:eastAsia="zh-CN"/>
        </w:rPr>
        <w:t>2</w:t>
      </w:r>
      <w:r>
        <w:rPr>
          <w:rFonts w:hint="eastAsia" w:ascii="Times New Roman" w:hAnsi="Times New Roman"/>
          <w:b/>
          <w:color w:val="auto"/>
          <w:sz w:val="24"/>
          <w:lang w:eastAsia="zh-CN"/>
        </w:rPr>
        <w:t>）</w:t>
      </w:r>
      <w:r>
        <w:rPr>
          <w:rFonts w:hint="eastAsia" w:ascii="Times New Roman" w:hAnsi="Times New Roman"/>
          <w:b/>
          <w:color w:val="auto"/>
          <w:sz w:val="24"/>
        </w:rPr>
        <w:t>、建设任务</w:t>
      </w:r>
    </w:p>
    <w:p>
      <w:pPr>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color w:val="auto"/>
          <w:sz w:val="24"/>
          <w:lang w:val="en-US" w:eastAsia="zh-CN"/>
        </w:rPr>
        <w:t>为了保证供水工程的整体安全性，方便维护及管理，本工程的建设内容主要分为两部分，一部分为老旧主干管网改造；另一部分为进村入户工程。</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老旧配水主管网改造部分的主要工程量有：</w:t>
      </w:r>
    </w:p>
    <w:p>
      <w:pPr>
        <w:spacing w:line="360" w:lineRule="auto"/>
        <w:ind w:firstLine="480" w:firstLineChars="200"/>
        <w:rPr>
          <w:rFonts w:hint="default" w:ascii="Times New Roman" w:hAnsi="Times New Roman"/>
          <w:color w:val="auto"/>
          <w:sz w:val="24"/>
          <w:lang w:val="en-US" w:eastAsia="zh-CN"/>
        </w:rPr>
      </w:pPr>
      <w:r>
        <w:rPr>
          <w:rFonts w:hint="eastAsia" w:ascii="Times New Roman" w:hAnsi="Times New Roman"/>
          <w:color w:val="auto"/>
          <w:sz w:val="24"/>
          <w:lang w:val="en-US" w:eastAsia="zh-CN"/>
        </w:rPr>
        <w:t>林泉水厂主要改造内容有：1、改造原丰林乡、高塘乡及林泉乡的主干管，其中：DN250：389米；DN200：4691米；DN150：5485米，DN100：14298米； 2、在林泉水厂到林泉乡小溪山村的一条主干管上设加一座加压站，</w:t>
      </w:r>
      <w:r>
        <w:rPr>
          <w:rFonts w:hint="eastAsia" w:ascii="宋体" w:hAnsi="宋体" w:eastAsia="宋体" w:cs="宋体"/>
          <w:i w:val="0"/>
          <w:color w:val="000000"/>
          <w:kern w:val="0"/>
          <w:sz w:val="24"/>
          <w:szCs w:val="24"/>
          <w:u w:val="none"/>
          <w:lang w:val="en-US" w:eastAsia="zh-CN" w:bidi="ar"/>
        </w:rPr>
        <w:t>设备参数：流量15m³/d，扬程28米，配泵两台，一用一备</w:t>
      </w:r>
      <w:r>
        <w:rPr>
          <w:rFonts w:hint="eastAsia" w:ascii="Times New Roman" w:hAnsi="Times New Roman"/>
          <w:color w:val="auto"/>
          <w:sz w:val="24"/>
          <w:lang w:val="en-US" w:eastAsia="zh-CN"/>
        </w:rPr>
        <w:t xml:space="preserve">。 </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车桥水厂供水工程中：</w:t>
      </w:r>
    </w:p>
    <w:p>
      <w:pPr>
        <w:spacing w:line="360" w:lineRule="auto"/>
        <w:ind w:firstLine="480" w:firstLineChars="200"/>
        <w:rPr>
          <w:rFonts w:hint="default" w:ascii="Times New Roman" w:hAnsi="Times New Roman"/>
          <w:color w:val="auto"/>
          <w:sz w:val="24"/>
          <w:lang w:val="en-US" w:eastAsia="zh-CN"/>
        </w:rPr>
      </w:pPr>
      <w:r>
        <w:rPr>
          <w:rFonts w:hint="eastAsia" w:ascii="Times New Roman" w:hAnsi="Times New Roman"/>
          <w:color w:val="auto"/>
          <w:sz w:val="24"/>
          <w:lang w:val="en-US" w:eastAsia="zh-CN"/>
        </w:rPr>
        <w:t>本工程拟改造一条给水管道，DN200：15898m。</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磨溪水厂供水工程中：</w:t>
      </w:r>
    </w:p>
    <w:p>
      <w:pPr>
        <w:numPr>
          <w:ilvl w:val="0"/>
          <w:numId w:val="0"/>
        </w:numPr>
        <w:spacing w:line="360" w:lineRule="auto"/>
        <w:ind w:firstLine="480" w:firstLineChars="200"/>
        <w:rPr>
          <w:rFonts w:hint="default" w:ascii="Times New Roman" w:hAnsi="Times New Roman"/>
          <w:color w:val="auto"/>
          <w:sz w:val="24"/>
          <w:lang w:val="en-US" w:eastAsia="zh-CN"/>
        </w:rPr>
      </w:pPr>
      <w:r>
        <w:rPr>
          <w:rFonts w:hint="eastAsia" w:ascii="Times New Roman" w:hAnsi="Times New Roman"/>
          <w:color w:val="auto"/>
          <w:sz w:val="24"/>
          <w:lang w:val="en-US" w:eastAsia="zh-CN"/>
        </w:rPr>
        <w:t>本工程拟改造一条给水管道，其中：DN250，3644米；DN200：6127米；DN150：2865米。</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其中管径大于DN200的管材采用球墨铸铁管，橡胶圈承插连接；小于等于DN200的管道采用给水PE管，电热熔连接；过河等特殊管段采用钢管，焊接。</w:t>
      </w:r>
    </w:p>
    <w:p>
      <w:pPr>
        <w:numPr>
          <w:ilvl w:val="0"/>
          <w:numId w:val="12"/>
        </w:num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、投资估算</w:t>
      </w:r>
    </w:p>
    <w:p>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s="宋体"/>
          <w:sz w:val="24"/>
          <w:lang w:val="en-US" w:eastAsia="zh-CN"/>
        </w:rPr>
        <w:t>本工程总投资预算为2998.68万元，其中工程费用2783.72万 元， 工程建设其他费 用为127.62万元，预备费87.34万元。</w:t>
      </w:r>
    </w:p>
    <w:p>
      <w:pPr>
        <w:numPr>
          <w:ilvl w:val="0"/>
          <w:numId w:val="11"/>
        </w:num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德安县农村饮水安全巩固提升工程（进村入户项目）</w:t>
      </w:r>
    </w:p>
    <w:p>
      <w:pPr>
        <w:spacing w:after="0" w:line="360" w:lineRule="auto"/>
        <w:ind w:left="40" w:right="980" w:firstLine="480"/>
        <w:rPr>
          <w:rFonts w:hint="default" w:ascii="宋体" w:hAnsi="宋体" w:eastAsia="宋体" w:cs="宋体"/>
          <w:b w:val="0"/>
          <w:bCs w:val="0"/>
          <w:color w:val="000008"/>
          <w:sz w:val="24"/>
          <w:szCs w:val="24"/>
          <w:lang w:val="en-US" w:eastAsia="zh-CN"/>
        </w:rPr>
      </w:pPr>
      <w:bookmarkStart w:id="81" w:name="_Toc521247727"/>
      <w:bookmarkStart w:id="82" w:name="_Toc521248425"/>
      <w:r>
        <w:rPr>
          <w:rFonts w:hint="eastAsia" w:ascii="宋体" w:hAnsi="宋体" w:eastAsia="宋体" w:cs="宋体"/>
          <w:b w:val="0"/>
          <w:bCs w:val="0"/>
          <w:color w:val="000008"/>
          <w:sz w:val="24"/>
          <w:szCs w:val="24"/>
          <w:lang w:val="en-US" w:eastAsia="zh-CN"/>
        </w:rPr>
        <w:t>1）、</w:t>
      </w:r>
      <w:bookmarkEnd w:id="81"/>
      <w:bookmarkEnd w:id="82"/>
      <w:r>
        <w:rPr>
          <w:rFonts w:hint="eastAsia" w:ascii="宋体" w:hAnsi="宋体" w:eastAsia="宋体" w:cs="宋体"/>
          <w:b w:val="0"/>
          <w:bCs w:val="0"/>
          <w:color w:val="000008"/>
          <w:sz w:val="24"/>
          <w:szCs w:val="24"/>
          <w:lang w:val="en-US" w:eastAsia="zh-CN"/>
        </w:rPr>
        <w:t>建设范围</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本工程建设范围包括全县七个水厂，涉及全县十二个乡镇58个行政村。入户工程按照“一户一表”的原则，以户为单位安装计量水表，采用无线远传水表，实现供水系统专业企业化管理。</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2）、建设内容</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在现状管网建设的基础上，实施进村入户工程，重要建设的工程量有：</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给水PE管，De160，24700.5m；De110，32934.00m；De63，65868.00m；De50，82335.00m； PPR管，De 25，296406 m。</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水表，一户一表，含前后阀门，并设水表井，总水表数量为27445块。</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二、工程投资</w:t>
      </w:r>
    </w:p>
    <w:p>
      <w:pPr>
        <w:spacing w:after="0" w:line="360" w:lineRule="auto"/>
        <w:ind w:left="40" w:right="980" w:firstLine="480"/>
        <w:rPr>
          <w:rFonts w:hint="eastAsia" w:ascii="宋体" w:hAnsi="宋体" w:eastAsia="宋体" w:cs="宋体"/>
          <w:b w:val="0"/>
          <w:bCs w:val="0"/>
          <w:color w:val="000008"/>
          <w:sz w:val="24"/>
          <w:szCs w:val="24"/>
          <w:lang w:val="en-US" w:eastAsia="zh-CN"/>
        </w:rPr>
      </w:pPr>
      <w:r>
        <w:rPr>
          <w:rFonts w:hint="eastAsia" w:ascii="宋体" w:hAnsi="宋体" w:eastAsia="宋体" w:cs="宋体"/>
          <w:b w:val="0"/>
          <w:bCs w:val="0"/>
          <w:color w:val="000008"/>
          <w:sz w:val="24"/>
          <w:szCs w:val="24"/>
          <w:lang w:val="en-US" w:eastAsia="zh-CN"/>
        </w:rPr>
        <w:t>本项目总投资为6484.18万元，其中建筑工程费用1491.85万元，安装工程费用4217.58万元，工程建设其他费用465.98万元，基本预备费308.77万元。</w:t>
      </w:r>
    </w:p>
    <w:p>
      <w:pPr>
        <w:pStyle w:val="14"/>
        <w:numPr>
          <w:ilvl w:val="0"/>
          <w:numId w:val="11"/>
        </w:numPr>
        <w:spacing w:line="360" w:lineRule="auto"/>
        <w:ind w:left="0" w:leftChars="0" w:firstLine="480" w:firstLineChars="200"/>
        <w:rPr>
          <w:rFonts w:hint="eastAsia" w:ascii="宋体" w:hAnsi="宋体"/>
          <w:sz w:val="24"/>
          <w:lang w:val="en-US" w:eastAsia="zh-CN"/>
        </w:rPr>
      </w:pPr>
      <w:r>
        <w:rPr>
          <w:rFonts w:hint="eastAsia" w:ascii="宋体" w:hAnsi="宋体"/>
          <w:sz w:val="24"/>
          <w:lang w:val="en-US" w:eastAsia="zh-CN"/>
        </w:rPr>
        <w:t>德安县城乡一体化供水工程——彭山水厂工程</w:t>
      </w:r>
    </w:p>
    <w:p>
      <w:pPr>
        <w:spacing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lang w:eastAsia="zh-CN"/>
        </w:rPr>
        <w:t>）</w:t>
      </w:r>
      <w:r>
        <w:rPr>
          <w:rFonts w:hint="eastAsia" w:ascii="宋体" w:hAnsi="宋体"/>
          <w:sz w:val="24"/>
        </w:rPr>
        <w:t>、建设任务</w:t>
      </w:r>
    </w:p>
    <w:p>
      <w:pPr>
        <w:spacing w:line="360" w:lineRule="auto"/>
        <w:ind w:firstLine="480" w:firstLineChars="200"/>
        <w:rPr>
          <w:rFonts w:hint="eastAsia" w:ascii="宋体" w:hAnsi="宋体"/>
          <w:sz w:val="24"/>
        </w:rPr>
      </w:pPr>
      <w:r>
        <w:rPr>
          <w:rFonts w:hint="eastAsia" w:ascii="宋体" w:hAnsi="宋体"/>
          <w:sz w:val="24"/>
          <w:lang w:eastAsia="zh-CN"/>
        </w:rPr>
        <w:t>（</w:t>
      </w:r>
      <w:r>
        <w:rPr>
          <w:rFonts w:hint="eastAsia" w:ascii="宋体" w:hAnsi="宋体"/>
          <w:sz w:val="24"/>
        </w:rPr>
        <w:t>1）、新建德安润泉供水原水工程输水管至彭山水厂的原水管线：DN500的输水管，管长约1.6KM。</w:t>
      </w:r>
    </w:p>
    <w:p>
      <w:pPr>
        <w:spacing w:line="360" w:lineRule="auto"/>
        <w:ind w:firstLine="480" w:firstLineChars="200"/>
        <w:rPr>
          <w:rFonts w:hint="eastAsia" w:ascii="宋体" w:hAnsi="宋体"/>
          <w:sz w:val="24"/>
        </w:rPr>
      </w:pPr>
      <w:r>
        <w:rPr>
          <w:rFonts w:hint="eastAsia" w:ascii="宋体" w:hAnsi="宋体"/>
          <w:sz w:val="24"/>
          <w:lang w:eastAsia="zh-CN"/>
        </w:rPr>
        <w:t>（</w:t>
      </w:r>
      <w:r>
        <w:rPr>
          <w:rFonts w:hint="eastAsia" w:ascii="宋体" w:hAnsi="宋体"/>
          <w:sz w:val="24"/>
        </w:rPr>
        <w:t>2）、1万m³/d的净水厂一座,分两组实施。</w:t>
      </w:r>
    </w:p>
    <w:p>
      <w:pPr>
        <w:spacing w:line="360" w:lineRule="auto"/>
        <w:ind w:firstLine="480" w:firstLineChars="200"/>
        <w:rPr>
          <w:rFonts w:hint="eastAsia" w:ascii="宋体" w:hAnsi="宋体"/>
          <w:sz w:val="24"/>
        </w:rPr>
      </w:pPr>
      <w:r>
        <w:rPr>
          <w:rFonts w:hint="eastAsia" w:ascii="宋体" w:hAnsi="宋体"/>
          <w:sz w:val="24"/>
        </w:rPr>
        <w:t>2</w:t>
      </w:r>
      <w:r>
        <w:rPr>
          <w:rFonts w:hint="eastAsia" w:ascii="宋体" w:hAnsi="宋体"/>
          <w:sz w:val="24"/>
          <w:lang w:eastAsia="zh-CN"/>
        </w:rPr>
        <w:t>）</w:t>
      </w:r>
      <w:r>
        <w:rPr>
          <w:rFonts w:hint="eastAsia" w:ascii="宋体" w:hAnsi="宋体"/>
          <w:sz w:val="24"/>
        </w:rPr>
        <w:t>、设计供水范围和设计年限</w:t>
      </w:r>
    </w:p>
    <w:p>
      <w:pPr>
        <w:spacing w:line="360" w:lineRule="auto"/>
        <w:ind w:firstLine="480" w:firstLineChars="200"/>
        <w:rPr>
          <w:rFonts w:hint="eastAsia" w:ascii="宋体" w:hAnsi="宋体"/>
          <w:sz w:val="24"/>
        </w:rPr>
      </w:pPr>
      <w:r>
        <w:rPr>
          <w:rFonts w:hint="eastAsia" w:ascii="宋体" w:hAnsi="宋体"/>
          <w:sz w:val="24"/>
        </w:rPr>
        <w:t>彭山水厂近期建设规模为1万m³/d，分两组实施，同时预留后期三万吨的建设用地，该项目主要供水范围为丰林工业园区及周边居民的饮水问题。</w:t>
      </w:r>
    </w:p>
    <w:p>
      <w:pPr>
        <w:pStyle w:val="14"/>
        <w:numPr>
          <w:ilvl w:val="0"/>
          <w:numId w:val="0"/>
        </w:numPr>
        <w:spacing w:line="360" w:lineRule="auto"/>
        <w:ind w:leftChars="200"/>
        <w:rPr>
          <w:rFonts w:hint="eastAsia" w:ascii="宋体" w:hAnsi="宋体"/>
          <w:sz w:val="24"/>
        </w:rPr>
      </w:pPr>
      <w:r>
        <w:rPr>
          <w:rFonts w:hint="eastAsia" w:ascii="宋体" w:hAnsi="宋体"/>
          <w:sz w:val="24"/>
        </w:rPr>
        <w:t>设计年限为10年。</w:t>
      </w:r>
    </w:p>
    <w:p>
      <w:pPr>
        <w:pStyle w:val="14"/>
        <w:numPr>
          <w:ilvl w:val="0"/>
          <w:numId w:val="0"/>
        </w:numPr>
        <w:spacing w:line="360" w:lineRule="auto"/>
        <w:ind w:leftChars="200"/>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3）、工程投资</w:t>
      </w:r>
    </w:p>
    <w:p>
      <w:pPr>
        <w:spacing w:line="360" w:lineRule="auto"/>
        <w:ind w:firstLine="480" w:firstLineChars="200"/>
        <w:rPr>
          <w:rFonts w:hint="default" w:ascii="宋体" w:hAnsi="宋体"/>
          <w:sz w:val="24"/>
          <w:lang w:val="en-US" w:eastAsia="zh-CN"/>
        </w:rPr>
      </w:pPr>
      <w:r>
        <w:rPr>
          <w:rFonts w:hint="eastAsia" w:ascii="宋体" w:hAnsi="宋体" w:eastAsia="宋体" w:cs="宋体"/>
          <w:color w:val="000000"/>
          <w:kern w:val="0"/>
          <w:sz w:val="24"/>
          <w:szCs w:val="24"/>
          <w:lang w:val="en-US" w:eastAsia="zh-CN" w:bidi="ar"/>
        </w:rPr>
        <w:t>本</w:t>
      </w:r>
      <w:r>
        <w:rPr>
          <w:rFonts w:hint="eastAsia" w:ascii="宋体" w:hAnsi="宋体"/>
          <w:sz w:val="24"/>
          <w:lang w:val="en-US" w:eastAsia="zh-CN"/>
        </w:rPr>
        <w:t>项目</w:t>
      </w:r>
      <w:r>
        <w:rPr>
          <w:rFonts w:hint="eastAsia" w:ascii="宋体" w:hAnsi="宋体" w:eastAsia="宋体" w:cs="宋体"/>
          <w:color w:val="000000"/>
          <w:kern w:val="0"/>
          <w:sz w:val="24"/>
          <w:szCs w:val="24"/>
          <w:lang w:val="en-US" w:eastAsia="zh-CN" w:bidi="ar"/>
        </w:rPr>
        <w:t xml:space="preserve">总投资概算为 </w:t>
      </w:r>
      <w:r>
        <w:rPr>
          <w:rFonts w:ascii="Calibri" w:hAnsi="Calibri" w:eastAsia="宋体" w:cs="Calibri"/>
          <w:color w:val="000000"/>
          <w:kern w:val="0"/>
          <w:sz w:val="24"/>
          <w:szCs w:val="24"/>
          <w:lang w:val="en-US" w:eastAsia="zh-CN" w:bidi="ar"/>
        </w:rPr>
        <w:t xml:space="preserve">2410.85 </w:t>
      </w:r>
      <w:r>
        <w:rPr>
          <w:rFonts w:hint="eastAsia" w:ascii="宋体" w:hAnsi="宋体" w:eastAsia="宋体" w:cs="宋体"/>
          <w:color w:val="000000"/>
          <w:kern w:val="0"/>
          <w:sz w:val="24"/>
          <w:szCs w:val="24"/>
          <w:lang w:val="en-US" w:eastAsia="zh-CN" w:bidi="ar"/>
        </w:rPr>
        <w:t xml:space="preserve">万元。其中工程直接费用 </w:t>
      </w:r>
      <w:r>
        <w:rPr>
          <w:rFonts w:hint="default" w:ascii="Calibri" w:hAnsi="Calibri" w:eastAsia="宋体" w:cs="Calibri"/>
          <w:color w:val="000000"/>
          <w:kern w:val="0"/>
          <w:sz w:val="24"/>
          <w:szCs w:val="24"/>
          <w:lang w:val="en-US" w:eastAsia="zh-CN" w:bidi="ar"/>
        </w:rPr>
        <w:t xml:space="preserve">1968.79 </w:t>
      </w:r>
      <w:r>
        <w:rPr>
          <w:rFonts w:hint="eastAsia" w:ascii="宋体" w:hAnsi="宋体" w:eastAsia="宋体" w:cs="宋体"/>
          <w:color w:val="000000"/>
          <w:kern w:val="0"/>
          <w:sz w:val="24"/>
          <w:szCs w:val="24"/>
          <w:lang w:val="en-US" w:eastAsia="zh-CN" w:bidi="ar"/>
        </w:rPr>
        <w:t xml:space="preserve">万元：其他费用 </w:t>
      </w:r>
      <w:r>
        <w:rPr>
          <w:rFonts w:hint="default" w:ascii="Calibri" w:hAnsi="Calibri" w:eastAsia="宋体" w:cs="Calibri"/>
          <w:color w:val="000000"/>
          <w:kern w:val="0"/>
          <w:sz w:val="24"/>
          <w:szCs w:val="24"/>
          <w:lang w:val="en-US" w:eastAsia="zh-CN" w:bidi="ar"/>
        </w:rPr>
        <w:t xml:space="preserve">371.85 </w:t>
      </w:r>
      <w:r>
        <w:rPr>
          <w:rFonts w:hint="eastAsia" w:ascii="宋体" w:hAnsi="宋体" w:eastAsia="宋体" w:cs="宋体"/>
          <w:color w:val="000000"/>
          <w:kern w:val="0"/>
          <w:sz w:val="24"/>
          <w:szCs w:val="24"/>
          <w:lang w:val="en-US" w:eastAsia="zh-CN" w:bidi="ar"/>
        </w:rPr>
        <w:t xml:space="preserve">万元，工程预备费 </w:t>
      </w:r>
      <w:r>
        <w:rPr>
          <w:rFonts w:hint="default" w:ascii="Calibri" w:hAnsi="Calibri" w:eastAsia="宋体" w:cs="Calibri"/>
          <w:color w:val="000000"/>
          <w:kern w:val="0"/>
          <w:sz w:val="24"/>
          <w:szCs w:val="24"/>
          <w:lang w:val="en-US" w:eastAsia="zh-CN" w:bidi="ar"/>
        </w:rPr>
        <w:t xml:space="preserve">70.22 </w:t>
      </w:r>
      <w:r>
        <w:rPr>
          <w:rFonts w:hint="eastAsia" w:ascii="宋体" w:hAnsi="宋体" w:eastAsia="宋体" w:cs="宋体"/>
          <w:color w:val="000000"/>
          <w:kern w:val="0"/>
          <w:sz w:val="24"/>
          <w:szCs w:val="24"/>
          <w:lang w:val="en-US" w:eastAsia="zh-CN" w:bidi="ar"/>
        </w:rPr>
        <w:t>万元。</w:t>
      </w:r>
    </w:p>
    <w:p>
      <w:pPr>
        <w:pStyle w:val="2"/>
        <w:rPr>
          <w:rFonts w:hint="eastAsia"/>
          <w:lang w:val="en-US" w:eastAsia="zh-CN"/>
        </w:rPr>
      </w:pPr>
    </w:p>
    <w:p>
      <w:pPr>
        <w:pStyle w:val="2"/>
        <w:rPr>
          <w:rFonts w:hint="eastAsia" w:ascii="宋体" w:hAnsi="宋体" w:eastAsia="宋体" w:cs="宋体"/>
          <w:b w:val="0"/>
          <w:bCs w:val="0"/>
          <w:color w:val="auto"/>
          <w:sz w:val="24"/>
          <w:szCs w:val="24"/>
        </w:rPr>
      </w:pP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bookmarkStart w:id="83" w:name="_Toc8463"/>
      <w:bookmarkStart w:id="84" w:name="_Toc31522"/>
      <w:r>
        <w:rPr>
          <w:rFonts w:ascii="Times New Roman" w:hAnsi="Times New Roman" w:eastAsia="仿宋"/>
          <w:kern w:val="2"/>
          <w:sz w:val="28"/>
          <w:szCs w:val="28"/>
        </w:rPr>
        <w:br w:type="page"/>
      </w:r>
      <w:bookmarkStart w:id="85" w:name="_Toc28657"/>
      <w:r>
        <w:rPr>
          <w:rFonts w:hint="eastAsia" w:ascii="宋体" w:hAnsi="宋体" w:eastAsia="宋体" w:cs="宋体"/>
          <w:kern w:val="2"/>
          <w:sz w:val="30"/>
          <w:szCs w:val="30"/>
        </w:rPr>
        <w:t>农村饮用水源保护</w:t>
      </w:r>
      <w:bookmarkEnd w:id="83"/>
      <w:bookmarkEnd w:id="84"/>
      <w:bookmarkEnd w:id="85"/>
    </w:p>
    <w:p>
      <w:pPr>
        <w:pStyle w:val="5"/>
        <w:adjustRightInd/>
        <w:snapToGrid/>
        <w:spacing w:line="360" w:lineRule="auto"/>
        <w:ind w:firstLine="562" w:firstLineChars="200"/>
        <w:rPr>
          <w:rFonts w:hint="eastAsia" w:ascii="宋体" w:hAnsi="宋体" w:eastAsia="宋体" w:cs="宋体"/>
          <w:b/>
          <w:bCs/>
          <w:sz w:val="28"/>
          <w:szCs w:val="28"/>
        </w:rPr>
      </w:pPr>
      <w:bookmarkStart w:id="86" w:name="_Toc29795"/>
      <w:r>
        <w:rPr>
          <w:rFonts w:hint="eastAsia" w:ascii="宋体" w:hAnsi="宋体" w:eastAsia="宋体" w:cs="宋体"/>
          <w:b/>
          <w:bCs/>
          <w:sz w:val="28"/>
          <w:szCs w:val="28"/>
        </w:rPr>
        <w:t>水源地概况</w:t>
      </w:r>
      <w:bookmarkEnd w:id="86"/>
    </w:p>
    <w:p>
      <w:pPr>
        <w:ind w:firstLine="480" w:firstLineChars="200"/>
        <w:rPr>
          <w:rFonts w:hint="eastAsia" w:ascii="宋体" w:hAnsi="宋体"/>
          <w:sz w:val="24"/>
        </w:rPr>
      </w:pPr>
      <w:r>
        <w:rPr>
          <w:rFonts w:hint="eastAsia" w:ascii="宋体" w:hAnsi="宋体"/>
          <w:sz w:val="24"/>
        </w:rPr>
        <w:t>分析各水厂所在的取水水源地的水环境功能区划，</w:t>
      </w:r>
      <w:r>
        <w:rPr>
          <w:rFonts w:hint="eastAsia" w:ascii="宋体" w:hAnsi="宋体"/>
          <w:sz w:val="24"/>
          <w:lang w:eastAsia="zh-CN"/>
        </w:rPr>
        <w:t>德安县</w:t>
      </w:r>
      <w:r>
        <w:rPr>
          <w:rFonts w:hint="eastAsia" w:ascii="宋体" w:hAnsi="宋体"/>
          <w:sz w:val="24"/>
        </w:rPr>
        <w:t>以地表水作为取水水源的水厂位于饮用水源区及保留区，保留区指</w:t>
      </w:r>
      <w:r>
        <w:rPr>
          <w:rFonts w:ascii="宋体" w:hAnsi="宋体"/>
          <w:sz w:val="24"/>
        </w:rPr>
        <w:t>指目前开发利用程度不高，为今后开发利用和保护水资源而预留的水域。该区内水质应维持现状，未经有相应管理权限的水行政主管部门批准，不得在区内进行大规模的开发利用活动。按现状水质类别控制。</w:t>
      </w:r>
      <w:r>
        <w:rPr>
          <w:rFonts w:hint="eastAsia" w:ascii="宋体" w:hAnsi="宋体"/>
          <w:sz w:val="24"/>
        </w:rPr>
        <w:t>由于自来水工程取水规模不大，占总供水量比例很小，不会引起生态环境恶化，经过严格的分析论证，可作为自来水工程的取水水源。</w:t>
      </w:r>
    </w:p>
    <w:p>
      <w:pPr>
        <w:pStyle w:val="5"/>
        <w:adjustRightInd/>
        <w:snapToGrid/>
        <w:spacing w:line="360" w:lineRule="auto"/>
        <w:ind w:firstLine="562" w:firstLineChars="200"/>
        <w:rPr>
          <w:rFonts w:hint="eastAsia" w:ascii="宋体" w:hAnsi="宋体" w:eastAsia="宋体" w:cs="宋体"/>
          <w:b/>
          <w:bCs/>
          <w:sz w:val="28"/>
          <w:szCs w:val="28"/>
        </w:rPr>
      </w:pPr>
      <w:bookmarkStart w:id="87" w:name="_Toc13014"/>
      <w:bookmarkStart w:id="88" w:name="_Toc335282461"/>
      <w:bookmarkStart w:id="89" w:name="_Toc355091843"/>
      <w:r>
        <w:rPr>
          <w:rFonts w:hint="eastAsia" w:ascii="宋体" w:hAnsi="宋体" w:eastAsia="宋体" w:cs="宋体"/>
          <w:b/>
          <w:bCs/>
          <w:sz w:val="28"/>
          <w:szCs w:val="28"/>
        </w:rPr>
        <w:t>各类型水源地评价</w:t>
      </w:r>
      <w:bookmarkEnd w:id="87"/>
      <w:bookmarkEnd w:id="88"/>
      <w:bookmarkEnd w:id="89"/>
    </w:p>
    <w:p>
      <w:pPr>
        <w:ind w:firstLine="480" w:firstLineChars="200"/>
        <w:rPr>
          <w:rFonts w:hint="eastAsia" w:ascii="宋体" w:hAnsi="宋体"/>
          <w:bCs/>
          <w:sz w:val="24"/>
        </w:rPr>
      </w:pPr>
      <w:r>
        <w:rPr>
          <w:rFonts w:hint="eastAsia" w:ascii="宋体" w:hAnsi="宋体"/>
          <w:bCs/>
          <w:sz w:val="24"/>
        </w:rPr>
        <w:t>根据近年来对狐狸洞暗河等主要地表水取水口附近的水质监测资料，水质基本符合《地下水环境质量标准》（</w:t>
      </w:r>
      <w:r>
        <w:rPr>
          <w:rFonts w:ascii="宋体" w:hAnsi="宋体"/>
          <w:bCs/>
          <w:sz w:val="24"/>
        </w:rPr>
        <w:t>GB</w:t>
      </w:r>
      <w:r>
        <w:rPr>
          <w:rFonts w:hint="eastAsia" w:ascii="宋体" w:hAnsi="宋体"/>
          <w:bCs/>
          <w:sz w:val="24"/>
        </w:rPr>
        <w:t>/T14</w:t>
      </w:r>
      <w:r>
        <w:rPr>
          <w:rFonts w:ascii="宋体" w:hAnsi="宋体"/>
          <w:bCs/>
          <w:sz w:val="24"/>
        </w:rPr>
        <w:t>8</w:t>
      </w:r>
      <w:r>
        <w:rPr>
          <w:rFonts w:hint="eastAsia" w:ascii="宋体" w:hAnsi="宋体"/>
          <w:bCs/>
          <w:sz w:val="24"/>
        </w:rPr>
        <w:t>4</w:t>
      </w:r>
      <w:r>
        <w:rPr>
          <w:rFonts w:ascii="宋体" w:hAnsi="宋体"/>
          <w:bCs/>
          <w:sz w:val="24"/>
        </w:rPr>
        <w:t>8-</w:t>
      </w:r>
      <w:r>
        <w:rPr>
          <w:rFonts w:hint="eastAsia" w:ascii="宋体" w:hAnsi="宋体"/>
          <w:bCs/>
          <w:sz w:val="24"/>
        </w:rPr>
        <w:t>93）Ⅲ类水体标准，符合《生活饮用水水源水质标准》（</w:t>
      </w:r>
      <w:r>
        <w:rPr>
          <w:rFonts w:ascii="宋体" w:hAnsi="宋体"/>
          <w:bCs/>
          <w:sz w:val="24"/>
        </w:rPr>
        <w:t>CJ3020-1993</w:t>
      </w:r>
      <w:r>
        <w:rPr>
          <w:rFonts w:hint="eastAsia" w:ascii="宋体" w:hAnsi="宋体"/>
          <w:bCs/>
          <w:sz w:val="24"/>
        </w:rPr>
        <w:t>）二级水源水，可作为集中供水和生活饮用水源。</w:t>
      </w:r>
    </w:p>
    <w:p>
      <w:pPr>
        <w:ind w:firstLine="480" w:firstLineChars="200"/>
        <w:rPr>
          <w:rFonts w:hint="eastAsia" w:ascii="宋体" w:hAnsi="宋体"/>
          <w:bCs/>
          <w:sz w:val="24"/>
        </w:rPr>
      </w:pPr>
      <w:r>
        <w:rPr>
          <w:rFonts w:hint="eastAsia" w:ascii="宋体" w:hAnsi="宋体"/>
          <w:bCs/>
          <w:sz w:val="24"/>
        </w:rPr>
        <w:t>根据近年来对博阳河庐山垅等主要地表水取水口附近的水质监测资料，水质基本符合《地表水环境质量标准》（</w:t>
      </w:r>
      <w:r>
        <w:rPr>
          <w:rFonts w:ascii="宋体" w:hAnsi="宋体"/>
          <w:bCs/>
          <w:sz w:val="24"/>
        </w:rPr>
        <w:t>GB3838-2002</w:t>
      </w:r>
      <w:r>
        <w:rPr>
          <w:rFonts w:hint="eastAsia" w:ascii="宋体" w:hAnsi="宋体"/>
          <w:bCs/>
          <w:sz w:val="24"/>
        </w:rPr>
        <w:t>）Ⅲ类水体标准，符合《生活饮用水水源水质标准》（</w:t>
      </w:r>
      <w:r>
        <w:rPr>
          <w:rFonts w:ascii="宋体" w:hAnsi="宋体"/>
          <w:bCs/>
          <w:sz w:val="24"/>
        </w:rPr>
        <w:t>CJ3020-1993</w:t>
      </w:r>
      <w:r>
        <w:rPr>
          <w:rFonts w:hint="eastAsia" w:ascii="宋体" w:hAnsi="宋体"/>
          <w:bCs/>
          <w:sz w:val="24"/>
        </w:rPr>
        <w:t>）二级水源水，可作为集中供水和生活饮用水源。</w:t>
      </w:r>
    </w:p>
    <w:p>
      <w:pPr>
        <w:ind w:firstLine="480" w:firstLineChars="200"/>
        <w:rPr>
          <w:rFonts w:hint="eastAsia" w:ascii="宋体" w:hAnsi="宋体"/>
          <w:bCs/>
          <w:sz w:val="24"/>
        </w:rPr>
      </w:pPr>
      <w:r>
        <w:rPr>
          <w:rFonts w:hint="eastAsia" w:ascii="宋体" w:hAnsi="宋体"/>
          <w:bCs/>
          <w:sz w:val="24"/>
        </w:rPr>
        <w:t>根据近年来对各水库等主要取水水源的水质监测资料，其水质符合《地表水环境质量标准》（</w:t>
      </w:r>
      <w:r>
        <w:rPr>
          <w:rFonts w:ascii="宋体" w:hAnsi="宋体"/>
          <w:bCs/>
          <w:sz w:val="24"/>
        </w:rPr>
        <w:t>GB3838-2002</w:t>
      </w:r>
      <w:r>
        <w:rPr>
          <w:rFonts w:hint="eastAsia" w:ascii="宋体" w:hAnsi="宋体"/>
          <w:bCs/>
          <w:sz w:val="24"/>
        </w:rPr>
        <w:t>）Ⅲ类水体标准和《生活饮用水水源水质标准》（</w:t>
      </w:r>
      <w:r>
        <w:rPr>
          <w:rFonts w:ascii="宋体" w:hAnsi="宋体"/>
          <w:bCs/>
          <w:sz w:val="24"/>
        </w:rPr>
        <w:t>CJ3020-1993</w:t>
      </w:r>
      <w:r>
        <w:rPr>
          <w:rFonts w:hint="eastAsia" w:ascii="宋体" w:hAnsi="宋体"/>
          <w:bCs/>
          <w:sz w:val="24"/>
        </w:rPr>
        <w:t>）二级水源水，可作为集中供水和生活饮用水源。</w:t>
      </w:r>
    </w:p>
    <w:p>
      <w:pPr>
        <w:pStyle w:val="5"/>
        <w:adjustRightInd/>
        <w:snapToGrid/>
        <w:spacing w:line="360" w:lineRule="auto"/>
        <w:ind w:firstLine="562" w:firstLineChars="200"/>
        <w:rPr>
          <w:rFonts w:hint="eastAsia" w:ascii="宋体" w:hAnsi="宋体" w:eastAsia="宋体" w:cs="宋体"/>
          <w:b/>
          <w:bCs/>
          <w:sz w:val="28"/>
          <w:szCs w:val="28"/>
        </w:rPr>
      </w:pPr>
      <w:bookmarkStart w:id="90" w:name="_Toc355091845"/>
      <w:bookmarkStart w:id="91" w:name="_Toc2003"/>
      <w:r>
        <w:rPr>
          <w:rFonts w:hint="eastAsia" w:ascii="宋体" w:hAnsi="宋体" w:eastAsia="宋体" w:cs="宋体"/>
          <w:b/>
          <w:bCs/>
          <w:sz w:val="28"/>
          <w:szCs w:val="28"/>
        </w:rPr>
        <w:t>水源地保护与预防措施</w:t>
      </w:r>
      <w:bookmarkEnd w:id="90"/>
      <w:bookmarkEnd w:id="91"/>
    </w:p>
    <w:p>
      <w:pPr>
        <w:pStyle w:val="6"/>
        <w:rPr>
          <w:rFonts w:hint="eastAsia"/>
        </w:rPr>
      </w:pPr>
      <w:r>
        <w:rPr>
          <w:rFonts w:hint="eastAsia"/>
        </w:rPr>
        <w:t>水源地</w:t>
      </w:r>
      <w:r>
        <w:rPr>
          <w:rFonts w:hint="eastAsia" w:ascii="Times New Roman" w:hAnsi="Times New Roman"/>
        </w:rPr>
        <w:t>保护范围</w:t>
      </w:r>
    </w:p>
    <w:p>
      <w:pPr>
        <w:ind w:firstLine="480" w:firstLineChars="200"/>
        <w:rPr>
          <w:rFonts w:hint="eastAsia" w:ascii="宋体" w:hAnsi="宋体"/>
          <w:bCs/>
          <w:sz w:val="24"/>
        </w:rPr>
      </w:pPr>
      <w:r>
        <w:rPr>
          <w:rFonts w:ascii="宋体" w:hAnsi="宋体"/>
          <w:bCs/>
          <w:sz w:val="24"/>
        </w:rPr>
        <w:t>参照《饮用水水源保护区污染防治管理规定》、《江西省生活饮用水水源污染防治办法》等相关要求</w:t>
      </w:r>
      <w:r>
        <w:rPr>
          <w:rFonts w:hint="eastAsia" w:ascii="宋体" w:hAnsi="宋体"/>
          <w:bCs/>
          <w:sz w:val="24"/>
        </w:rPr>
        <w:t>， 德安县各水厂保护范围如下表所示：</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37"/>
        <w:gridCol w:w="1706"/>
        <w:gridCol w:w="2422"/>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noWrap w:val="0"/>
            <w:vAlign w:val="top"/>
          </w:tcPr>
          <w:p>
            <w:pPr>
              <w:rPr>
                <w:rFonts w:hint="eastAsia" w:ascii="宋体" w:hAnsi="宋体"/>
                <w:bCs/>
                <w:sz w:val="24"/>
              </w:rPr>
            </w:pPr>
            <w:r>
              <w:rPr>
                <w:rFonts w:hint="eastAsia" w:ascii="宋体" w:hAnsi="宋体"/>
                <w:bCs/>
                <w:sz w:val="24"/>
              </w:rPr>
              <w:t>序号</w:t>
            </w:r>
          </w:p>
        </w:tc>
        <w:tc>
          <w:tcPr>
            <w:tcW w:w="1237" w:type="dxa"/>
            <w:vMerge w:val="restart"/>
            <w:noWrap w:val="0"/>
            <w:vAlign w:val="top"/>
          </w:tcPr>
          <w:p>
            <w:pPr>
              <w:rPr>
                <w:rFonts w:hint="eastAsia" w:ascii="宋体" w:hAnsi="宋体"/>
                <w:bCs/>
                <w:sz w:val="24"/>
              </w:rPr>
            </w:pPr>
            <w:r>
              <w:rPr>
                <w:rFonts w:hint="eastAsia" w:ascii="宋体" w:hAnsi="宋体"/>
                <w:bCs/>
                <w:sz w:val="24"/>
              </w:rPr>
              <w:t>水源类别</w:t>
            </w:r>
          </w:p>
        </w:tc>
        <w:tc>
          <w:tcPr>
            <w:tcW w:w="1706" w:type="dxa"/>
            <w:vMerge w:val="restart"/>
            <w:noWrap w:val="0"/>
            <w:vAlign w:val="top"/>
          </w:tcPr>
          <w:p>
            <w:pPr>
              <w:rPr>
                <w:rFonts w:hint="eastAsia" w:ascii="宋体" w:hAnsi="宋体"/>
                <w:bCs/>
                <w:sz w:val="24"/>
              </w:rPr>
            </w:pPr>
            <w:r>
              <w:rPr>
                <w:rFonts w:hint="eastAsia" w:ascii="宋体" w:hAnsi="宋体"/>
                <w:bCs/>
                <w:sz w:val="24"/>
              </w:rPr>
              <w:t>水厂名称</w:t>
            </w:r>
          </w:p>
        </w:tc>
        <w:tc>
          <w:tcPr>
            <w:tcW w:w="5124" w:type="dxa"/>
            <w:gridSpan w:val="2"/>
            <w:noWrap w:val="0"/>
            <w:vAlign w:val="top"/>
          </w:tcPr>
          <w:p>
            <w:pPr>
              <w:rPr>
                <w:rFonts w:hint="eastAsia" w:ascii="宋体" w:hAnsi="宋体"/>
                <w:bCs/>
                <w:sz w:val="24"/>
              </w:rPr>
            </w:pPr>
            <w:r>
              <w:rPr>
                <w:rFonts w:hint="eastAsia" w:ascii="宋体" w:hAnsi="宋体"/>
                <w:bCs/>
                <w:sz w:val="24"/>
              </w:rPr>
              <w:t>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noWrap w:val="0"/>
            <w:vAlign w:val="top"/>
          </w:tcPr>
          <w:p>
            <w:pPr>
              <w:rPr>
                <w:rFonts w:hint="eastAsia" w:ascii="宋体" w:hAnsi="宋体"/>
                <w:bCs/>
                <w:sz w:val="24"/>
              </w:rPr>
            </w:pPr>
          </w:p>
        </w:tc>
        <w:tc>
          <w:tcPr>
            <w:tcW w:w="1237" w:type="dxa"/>
            <w:vMerge w:val="continue"/>
            <w:noWrap w:val="0"/>
            <w:vAlign w:val="top"/>
          </w:tcPr>
          <w:p>
            <w:pPr>
              <w:rPr>
                <w:rFonts w:hint="eastAsia" w:ascii="宋体" w:hAnsi="宋体"/>
                <w:bCs/>
                <w:sz w:val="24"/>
              </w:rPr>
            </w:pPr>
          </w:p>
        </w:tc>
        <w:tc>
          <w:tcPr>
            <w:tcW w:w="1706" w:type="dxa"/>
            <w:vMerge w:val="continue"/>
            <w:noWrap w:val="0"/>
            <w:vAlign w:val="top"/>
          </w:tcPr>
          <w:p>
            <w:pPr>
              <w:rPr>
                <w:rFonts w:hint="eastAsia" w:ascii="宋体" w:hAnsi="宋体"/>
                <w:bCs/>
                <w:sz w:val="24"/>
              </w:rPr>
            </w:pPr>
          </w:p>
        </w:tc>
        <w:tc>
          <w:tcPr>
            <w:tcW w:w="2422" w:type="dxa"/>
            <w:noWrap w:val="0"/>
            <w:vAlign w:val="top"/>
          </w:tcPr>
          <w:p>
            <w:pPr>
              <w:rPr>
                <w:rFonts w:hint="eastAsia" w:ascii="宋体" w:hAnsi="宋体"/>
                <w:bCs/>
                <w:sz w:val="24"/>
              </w:rPr>
            </w:pPr>
            <w:r>
              <w:rPr>
                <w:rFonts w:hint="eastAsia" w:ascii="宋体" w:hAnsi="宋体"/>
                <w:bCs/>
                <w:sz w:val="24"/>
              </w:rPr>
              <w:t>一级保护区</w:t>
            </w:r>
          </w:p>
        </w:tc>
        <w:tc>
          <w:tcPr>
            <w:tcW w:w="2702" w:type="dxa"/>
            <w:noWrap w:val="0"/>
            <w:vAlign w:val="top"/>
          </w:tcPr>
          <w:p>
            <w:pPr>
              <w:rPr>
                <w:rFonts w:hint="eastAsia" w:ascii="宋体" w:hAnsi="宋体"/>
                <w:bCs/>
                <w:sz w:val="24"/>
              </w:rPr>
            </w:pPr>
            <w:r>
              <w:rPr>
                <w:rFonts w:hint="eastAsia" w:ascii="宋体" w:hAnsi="宋体"/>
                <w:bCs/>
                <w:sz w:val="24"/>
              </w:rPr>
              <w:t>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top"/>
          </w:tcPr>
          <w:p>
            <w:pPr>
              <w:rPr>
                <w:rFonts w:hint="eastAsia" w:ascii="宋体" w:hAnsi="宋体"/>
                <w:bCs/>
                <w:sz w:val="24"/>
              </w:rPr>
            </w:pPr>
            <w:r>
              <w:rPr>
                <w:rFonts w:hint="eastAsia" w:ascii="宋体" w:hAnsi="宋体"/>
                <w:bCs/>
                <w:sz w:val="24"/>
              </w:rPr>
              <w:t>1</w:t>
            </w:r>
          </w:p>
        </w:tc>
        <w:tc>
          <w:tcPr>
            <w:tcW w:w="1237" w:type="dxa"/>
            <w:noWrap w:val="0"/>
            <w:vAlign w:val="top"/>
          </w:tcPr>
          <w:p>
            <w:pPr>
              <w:rPr>
                <w:rFonts w:hint="eastAsia" w:ascii="宋体" w:hAnsi="宋体"/>
                <w:bCs/>
                <w:sz w:val="24"/>
              </w:rPr>
            </w:pPr>
            <w:r>
              <w:rPr>
                <w:rFonts w:hint="eastAsia" w:ascii="宋体" w:hAnsi="宋体"/>
                <w:bCs/>
                <w:sz w:val="24"/>
              </w:rPr>
              <w:t>河流</w:t>
            </w:r>
          </w:p>
        </w:tc>
        <w:tc>
          <w:tcPr>
            <w:tcW w:w="1706" w:type="dxa"/>
            <w:noWrap w:val="0"/>
            <w:vAlign w:val="top"/>
          </w:tcPr>
          <w:p>
            <w:pPr>
              <w:rPr>
                <w:rFonts w:hint="eastAsia" w:ascii="宋体" w:hAnsi="宋体"/>
                <w:bCs/>
                <w:sz w:val="24"/>
              </w:rPr>
            </w:pPr>
            <w:r>
              <w:rPr>
                <w:rFonts w:hint="eastAsia" w:ascii="宋体" w:hAnsi="宋体"/>
                <w:bCs/>
                <w:sz w:val="24"/>
              </w:rPr>
              <w:t>雁家湖水厂</w:t>
            </w:r>
          </w:p>
          <w:p>
            <w:pPr>
              <w:rPr>
                <w:rFonts w:hint="eastAsia" w:ascii="宋体" w:hAnsi="宋体"/>
                <w:bCs/>
                <w:sz w:val="24"/>
              </w:rPr>
            </w:pPr>
            <w:r>
              <w:rPr>
                <w:rFonts w:hint="eastAsia" w:ascii="宋体" w:hAnsi="宋体"/>
                <w:bCs/>
                <w:sz w:val="24"/>
                <w:lang w:val="en-US" w:eastAsia="zh-CN"/>
              </w:rPr>
              <w:t>彭山</w:t>
            </w:r>
            <w:r>
              <w:rPr>
                <w:rFonts w:hint="eastAsia" w:ascii="宋体" w:hAnsi="宋体"/>
                <w:bCs/>
                <w:sz w:val="24"/>
              </w:rPr>
              <w:t>水厂</w:t>
            </w:r>
          </w:p>
          <w:p>
            <w:pPr>
              <w:rPr>
                <w:rFonts w:hint="eastAsia" w:ascii="宋体" w:hAnsi="宋体"/>
                <w:bCs/>
                <w:sz w:val="24"/>
              </w:rPr>
            </w:pPr>
          </w:p>
        </w:tc>
        <w:tc>
          <w:tcPr>
            <w:tcW w:w="2422" w:type="dxa"/>
            <w:noWrap w:val="0"/>
            <w:vAlign w:val="top"/>
          </w:tcPr>
          <w:p>
            <w:pPr>
              <w:rPr>
                <w:rFonts w:hint="eastAsia" w:ascii="宋体" w:hAnsi="宋体"/>
                <w:bCs/>
                <w:sz w:val="24"/>
              </w:rPr>
            </w:pPr>
            <w:r>
              <w:rPr>
                <w:rFonts w:ascii="宋体" w:hAnsi="宋体"/>
                <w:bCs/>
                <w:sz w:val="24"/>
              </w:rPr>
              <w:t>自取水点起算，上游1000米至下游100米的水域和取水点一侧的滩地以及迎水面堤脚向背水面延伸100米的陆域；</w:t>
            </w:r>
          </w:p>
        </w:tc>
        <w:tc>
          <w:tcPr>
            <w:tcW w:w="2702" w:type="dxa"/>
            <w:noWrap w:val="0"/>
            <w:vAlign w:val="top"/>
          </w:tcPr>
          <w:p>
            <w:pPr>
              <w:rPr>
                <w:rFonts w:hint="eastAsia" w:ascii="宋体" w:hAnsi="宋体"/>
                <w:bCs/>
                <w:sz w:val="24"/>
              </w:rPr>
            </w:pPr>
            <w:r>
              <w:rPr>
                <w:rFonts w:ascii="宋体" w:hAnsi="宋体"/>
                <w:bCs/>
                <w:sz w:val="24"/>
              </w:rPr>
              <w:t>自一级保护区上界起上溯3000米的水域和取水点一侧的滩地以及迎水面堤脚向背水面延伸100米的陆域。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top"/>
          </w:tcPr>
          <w:p>
            <w:pPr>
              <w:rPr>
                <w:rFonts w:hint="eastAsia" w:ascii="宋体" w:hAnsi="宋体"/>
                <w:bCs/>
                <w:sz w:val="24"/>
              </w:rPr>
            </w:pPr>
            <w:r>
              <w:rPr>
                <w:rFonts w:hint="eastAsia" w:ascii="宋体" w:hAnsi="宋体"/>
                <w:bCs/>
                <w:sz w:val="24"/>
              </w:rPr>
              <w:t>2</w:t>
            </w:r>
          </w:p>
        </w:tc>
        <w:tc>
          <w:tcPr>
            <w:tcW w:w="1237" w:type="dxa"/>
            <w:noWrap w:val="0"/>
            <w:vAlign w:val="top"/>
          </w:tcPr>
          <w:p>
            <w:pPr>
              <w:rPr>
                <w:rFonts w:hint="eastAsia" w:ascii="宋体" w:hAnsi="宋体"/>
                <w:bCs/>
                <w:sz w:val="24"/>
              </w:rPr>
            </w:pPr>
            <w:r>
              <w:rPr>
                <w:rFonts w:hint="eastAsia" w:ascii="宋体" w:hAnsi="宋体"/>
                <w:bCs/>
                <w:sz w:val="24"/>
              </w:rPr>
              <w:t>水库</w:t>
            </w:r>
          </w:p>
        </w:tc>
        <w:tc>
          <w:tcPr>
            <w:tcW w:w="1706" w:type="dxa"/>
            <w:noWrap w:val="0"/>
            <w:vAlign w:val="top"/>
          </w:tcPr>
          <w:p>
            <w:pPr>
              <w:rPr>
                <w:rFonts w:hint="eastAsia" w:ascii="宋体" w:hAnsi="宋体"/>
                <w:bCs/>
                <w:sz w:val="24"/>
              </w:rPr>
            </w:pPr>
          </w:p>
        </w:tc>
        <w:tc>
          <w:tcPr>
            <w:tcW w:w="2422" w:type="dxa"/>
            <w:noWrap w:val="0"/>
            <w:vAlign w:val="top"/>
          </w:tcPr>
          <w:p>
            <w:pPr>
              <w:rPr>
                <w:rFonts w:hint="eastAsia" w:ascii="宋体" w:hAnsi="宋体"/>
                <w:bCs/>
                <w:sz w:val="24"/>
              </w:rPr>
            </w:pPr>
            <w:r>
              <w:rPr>
                <w:rFonts w:ascii="宋体" w:hAnsi="宋体"/>
                <w:bCs/>
                <w:sz w:val="24"/>
              </w:rPr>
              <w:t>以取水点为中心，半径500米内的水域和取水点一侧的滩地；</w:t>
            </w:r>
          </w:p>
        </w:tc>
        <w:tc>
          <w:tcPr>
            <w:tcW w:w="2702" w:type="dxa"/>
            <w:noWrap w:val="0"/>
            <w:vAlign w:val="top"/>
          </w:tcPr>
          <w:p>
            <w:pPr>
              <w:rPr>
                <w:rFonts w:hint="eastAsia" w:ascii="宋体" w:hAnsi="宋体"/>
                <w:bCs/>
                <w:sz w:val="24"/>
              </w:rPr>
            </w:pPr>
            <w:r>
              <w:rPr>
                <w:rFonts w:ascii="宋体" w:hAnsi="宋体"/>
                <w:bCs/>
                <w:sz w:val="24"/>
              </w:rPr>
              <w:t>一级保护区以外2500米内的水域和取水点一侧的滩地。</w:t>
            </w:r>
          </w:p>
        </w:tc>
      </w:tr>
    </w:tbl>
    <w:p>
      <w:pPr>
        <w:pStyle w:val="6"/>
        <w:ind w:left="1418"/>
        <w:rPr>
          <w:rFonts w:hint="eastAsia"/>
          <w:bCs/>
        </w:rPr>
      </w:pPr>
      <w:r>
        <w:rPr>
          <w:rFonts w:hint="eastAsia"/>
          <w:bCs/>
        </w:rPr>
        <w:t>水环境功能区划分</w:t>
      </w:r>
    </w:p>
    <w:p>
      <w:pPr>
        <w:ind w:firstLine="480" w:firstLineChars="200"/>
        <w:jc w:val="center"/>
        <w:rPr>
          <w:rFonts w:hint="eastAsia" w:ascii="宋体" w:hAnsi="宋体"/>
          <w:sz w:val="24"/>
        </w:rPr>
      </w:pPr>
      <w:r>
        <w:rPr>
          <w:rFonts w:hint="eastAsia" w:ascii="宋体" w:hAnsi="宋体"/>
          <w:sz w:val="24"/>
        </w:rPr>
        <w:t>德安县自来水工程主要取水水源所在位置的水环境功能区划表</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77"/>
        <w:gridCol w:w="898"/>
        <w:gridCol w:w="655"/>
        <w:gridCol w:w="653"/>
        <w:gridCol w:w="1308"/>
        <w:gridCol w:w="916"/>
        <w:gridCol w:w="1178"/>
        <w:gridCol w:w="786"/>
        <w:gridCol w:w="820"/>
        <w:gridCol w:w="542"/>
        <w:gridCol w:w="3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377" w:type="dxa"/>
            <w:noWrap w:val="0"/>
            <w:vAlign w:val="center"/>
          </w:tcPr>
          <w:p>
            <w:pPr>
              <w:snapToGrid w:val="0"/>
              <w:jc w:val="center"/>
              <w:rPr>
                <w:rFonts w:ascii="宋体" w:hAnsi="宋体"/>
                <w:sz w:val="24"/>
              </w:rPr>
            </w:pPr>
            <w:r>
              <w:rPr>
                <w:rFonts w:hint="eastAsia" w:ascii="宋体" w:hAnsi="宋体"/>
                <w:sz w:val="24"/>
              </w:rPr>
              <w:t>序号</w:t>
            </w:r>
          </w:p>
        </w:tc>
        <w:tc>
          <w:tcPr>
            <w:tcW w:w="898" w:type="dxa"/>
            <w:noWrap w:val="0"/>
            <w:vAlign w:val="center"/>
          </w:tcPr>
          <w:p>
            <w:pPr>
              <w:snapToGrid w:val="0"/>
              <w:jc w:val="center"/>
              <w:rPr>
                <w:rFonts w:ascii="宋体" w:hAnsi="宋体"/>
                <w:sz w:val="24"/>
              </w:rPr>
            </w:pPr>
            <w:r>
              <w:rPr>
                <w:rFonts w:hint="eastAsia" w:ascii="宋体" w:hAnsi="宋体"/>
                <w:sz w:val="24"/>
              </w:rPr>
              <w:t>水厂名称</w:t>
            </w:r>
          </w:p>
        </w:tc>
        <w:tc>
          <w:tcPr>
            <w:tcW w:w="655" w:type="dxa"/>
            <w:noWrap w:val="0"/>
            <w:vAlign w:val="center"/>
          </w:tcPr>
          <w:p>
            <w:pPr>
              <w:snapToGrid w:val="0"/>
              <w:jc w:val="center"/>
              <w:rPr>
                <w:rFonts w:ascii="宋体" w:hAnsi="宋体"/>
                <w:sz w:val="24"/>
              </w:rPr>
            </w:pPr>
            <w:r>
              <w:rPr>
                <w:rFonts w:hint="eastAsia" w:ascii="宋体" w:hAnsi="宋体"/>
                <w:sz w:val="24"/>
              </w:rPr>
              <w:t>所处河流河段</w:t>
            </w:r>
          </w:p>
        </w:tc>
        <w:tc>
          <w:tcPr>
            <w:tcW w:w="653" w:type="dxa"/>
            <w:noWrap w:val="0"/>
            <w:vAlign w:val="center"/>
          </w:tcPr>
          <w:p>
            <w:pPr>
              <w:snapToGrid w:val="0"/>
              <w:jc w:val="center"/>
              <w:rPr>
                <w:rFonts w:hint="eastAsia" w:ascii="宋体" w:hAnsi="宋体"/>
                <w:sz w:val="24"/>
              </w:rPr>
            </w:pPr>
            <w:r>
              <w:rPr>
                <w:rFonts w:hint="eastAsia" w:ascii="宋体" w:hAnsi="宋体"/>
                <w:sz w:val="24"/>
              </w:rPr>
              <w:t>取水点位置</w:t>
            </w:r>
          </w:p>
        </w:tc>
        <w:tc>
          <w:tcPr>
            <w:tcW w:w="1308" w:type="dxa"/>
            <w:noWrap w:val="0"/>
            <w:vAlign w:val="center"/>
          </w:tcPr>
          <w:p>
            <w:pPr>
              <w:snapToGrid w:val="0"/>
              <w:jc w:val="center"/>
              <w:rPr>
                <w:rFonts w:hint="eastAsia" w:ascii="宋体" w:hAnsi="宋体"/>
                <w:sz w:val="24"/>
              </w:rPr>
            </w:pPr>
            <w:r>
              <w:rPr>
                <w:rFonts w:hint="eastAsia" w:ascii="宋体" w:hAnsi="宋体"/>
                <w:sz w:val="24"/>
              </w:rPr>
              <w:t>水功能区名称</w:t>
            </w:r>
          </w:p>
        </w:tc>
        <w:tc>
          <w:tcPr>
            <w:tcW w:w="916" w:type="dxa"/>
            <w:tcBorders>
              <w:right w:val="single" w:color="auto" w:sz="4" w:space="0"/>
            </w:tcBorders>
            <w:noWrap w:val="0"/>
            <w:vAlign w:val="center"/>
          </w:tcPr>
          <w:p>
            <w:pPr>
              <w:snapToGrid w:val="0"/>
              <w:jc w:val="center"/>
              <w:rPr>
                <w:rFonts w:hint="eastAsia" w:ascii="宋体" w:hAnsi="宋体"/>
                <w:sz w:val="24"/>
              </w:rPr>
            </w:pPr>
            <w:r>
              <w:rPr>
                <w:rFonts w:hint="eastAsia" w:ascii="宋体" w:hAnsi="宋体"/>
                <w:sz w:val="24"/>
              </w:rPr>
              <w:t>起始位置</w:t>
            </w:r>
          </w:p>
        </w:tc>
        <w:tc>
          <w:tcPr>
            <w:tcW w:w="1178" w:type="dxa"/>
            <w:tcBorders>
              <w:left w:val="single" w:color="auto" w:sz="4" w:space="0"/>
            </w:tcBorders>
            <w:noWrap w:val="0"/>
            <w:vAlign w:val="center"/>
          </w:tcPr>
          <w:p>
            <w:pPr>
              <w:snapToGrid w:val="0"/>
              <w:jc w:val="center"/>
              <w:rPr>
                <w:rFonts w:hint="eastAsia" w:ascii="宋体" w:hAnsi="宋体"/>
                <w:sz w:val="24"/>
              </w:rPr>
            </w:pPr>
            <w:r>
              <w:rPr>
                <w:rFonts w:hint="eastAsia" w:ascii="宋体" w:hAnsi="宋体"/>
                <w:sz w:val="24"/>
              </w:rPr>
              <w:t>终止位置</w:t>
            </w:r>
          </w:p>
        </w:tc>
        <w:tc>
          <w:tcPr>
            <w:tcW w:w="786" w:type="dxa"/>
            <w:noWrap w:val="0"/>
            <w:vAlign w:val="center"/>
          </w:tcPr>
          <w:p>
            <w:pPr>
              <w:snapToGrid w:val="0"/>
              <w:jc w:val="center"/>
              <w:rPr>
                <w:rFonts w:hint="eastAsia" w:ascii="宋体" w:hAnsi="宋体"/>
                <w:sz w:val="24"/>
              </w:rPr>
            </w:pPr>
            <w:r>
              <w:rPr>
                <w:rFonts w:hint="eastAsia" w:ascii="宋体" w:hAnsi="宋体"/>
                <w:sz w:val="24"/>
              </w:rPr>
              <w:t>长度</w:t>
            </w:r>
          </w:p>
          <w:p>
            <w:pPr>
              <w:snapToGrid w:val="0"/>
              <w:jc w:val="center"/>
              <w:rPr>
                <w:rFonts w:hint="eastAsia" w:ascii="宋体" w:hAnsi="宋体"/>
                <w:sz w:val="24"/>
              </w:rPr>
            </w:pPr>
            <w:r>
              <w:rPr>
                <w:rFonts w:hint="eastAsia" w:ascii="宋体" w:hAnsi="宋体"/>
                <w:sz w:val="24"/>
              </w:rPr>
              <w:t>（km）</w:t>
            </w:r>
          </w:p>
        </w:tc>
        <w:tc>
          <w:tcPr>
            <w:tcW w:w="820" w:type="dxa"/>
            <w:noWrap w:val="0"/>
            <w:vAlign w:val="center"/>
          </w:tcPr>
          <w:p>
            <w:pPr>
              <w:snapToGrid w:val="0"/>
              <w:jc w:val="center"/>
              <w:rPr>
                <w:rFonts w:hint="eastAsia" w:ascii="宋体" w:hAnsi="宋体"/>
                <w:sz w:val="24"/>
              </w:rPr>
            </w:pPr>
            <w:r>
              <w:rPr>
                <w:rFonts w:hint="eastAsia" w:ascii="宋体" w:hAnsi="宋体"/>
                <w:sz w:val="24"/>
              </w:rPr>
              <w:t>面积</w:t>
            </w:r>
          </w:p>
          <w:p>
            <w:pPr>
              <w:snapToGrid w:val="0"/>
              <w:jc w:val="center"/>
              <w:rPr>
                <w:rFonts w:hint="eastAsia" w:ascii="宋体" w:hAnsi="宋体"/>
                <w:sz w:val="24"/>
              </w:rPr>
            </w:pPr>
            <w:r>
              <w:rPr>
                <w:rFonts w:hint="eastAsia" w:ascii="宋体" w:hAnsi="宋体"/>
                <w:sz w:val="24"/>
              </w:rPr>
              <w:t>（km</w:t>
            </w:r>
            <w:r>
              <w:rPr>
                <w:rFonts w:hint="eastAsia" w:ascii="宋体" w:hAnsi="宋体"/>
                <w:sz w:val="24"/>
                <w:vertAlign w:val="superscript"/>
              </w:rPr>
              <w:t>2</w:t>
            </w:r>
            <w:r>
              <w:rPr>
                <w:rFonts w:hint="eastAsia" w:ascii="宋体" w:hAnsi="宋体"/>
                <w:sz w:val="24"/>
              </w:rPr>
              <w:t>）</w:t>
            </w:r>
          </w:p>
        </w:tc>
        <w:tc>
          <w:tcPr>
            <w:tcW w:w="542" w:type="dxa"/>
            <w:noWrap w:val="0"/>
            <w:vAlign w:val="center"/>
          </w:tcPr>
          <w:p>
            <w:pPr>
              <w:snapToGrid w:val="0"/>
              <w:jc w:val="center"/>
              <w:rPr>
                <w:rFonts w:ascii="宋体" w:hAnsi="宋体"/>
                <w:sz w:val="24"/>
              </w:rPr>
            </w:pPr>
            <w:r>
              <w:rPr>
                <w:rFonts w:hint="eastAsia" w:ascii="宋体" w:hAnsi="宋体"/>
                <w:sz w:val="24"/>
              </w:rPr>
              <w:t>水质目标</w:t>
            </w:r>
          </w:p>
        </w:tc>
        <w:tc>
          <w:tcPr>
            <w:tcW w:w="392" w:type="dxa"/>
            <w:noWrap w:val="0"/>
            <w:vAlign w:val="center"/>
          </w:tcPr>
          <w:p>
            <w:pPr>
              <w:snapToGrid w:val="0"/>
              <w:jc w:val="center"/>
              <w:rPr>
                <w:rFonts w:ascii="宋体" w:hAnsi="宋体"/>
                <w:sz w:val="24"/>
              </w:rPr>
            </w:pPr>
            <w:r>
              <w:rPr>
                <w:rFonts w:hint="eastAsia" w:ascii="宋体" w:hAnsi="宋体"/>
                <w:sz w:val="24"/>
              </w:rPr>
              <w:t>水质现状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hint="eastAsia" w:ascii="宋体" w:hAnsi="宋体"/>
                <w:sz w:val="24"/>
              </w:rPr>
            </w:pPr>
            <w:r>
              <w:rPr>
                <w:rFonts w:hint="eastAsia" w:ascii="宋体" w:hAnsi="宋体"/>
                <w:sz w:val="24"/>
              </w:rPr>
              <w:t>1</w:t>
            </w:r>
          </w:p>
        </w:tc>
        <w:tc>
          <w:tcPr>
            <w:tcW w:w="898" w:type="dxa"/>
            <w:noWrap w:val="0"/>
            <w:vAlign w:val="center"/>
          </w:tcPr>
          <w:p>
            <w:pPr>
              <w:snapToGrid w:val="0"/>
              <w:rPr>
                <w:rFonts w:hint="eastAsia" w:ascii="宋体" w:hAnsi="宋体"/>
                <w:sz w:val="24"/>
              </w:rPr>
            </w:pPr>
            <w:r>
              <w:rPr>
                <w:rFonts w:hint="eastAsia" w:ascii="宋体" w:hAnsi="宋体"/>
                <w:sz w:val="24"/>
              </w:rPr>
              <w:t>雁家湖水厂</w:t>
            </w:r>
          </w:p>
        </w:tc>
        <w:tc>
          <w:tcPr>
            <w:tcW w:w="655" w:type="dxa"/>
            <w:vMerge w:val="restart"/>
            <w:noWrap w:val="0"/>
            <w:vAlign w:val="center"/>
          </w:tcPr>
          <w:p>
            <w:pPr>
              <w:snapToGrid w:val="0"/>
              <w:rPr>
                <w:rFonts w:hint="eastAsia" w:ascii="宋体" w:hAnsi="宋体"/>
                <w:sz w:val="24"/>
              </w:rPr>
            </w:pPr>
            <w:r>
              <w:rPr>
                <w:rFonts w:hint="eastAsia" w:ascii="宋体" w:hAnsi="宋体"/>
                <w:sz w:val="24"/>
              </w:rPr>
              <w:t>博阳河</w:t>
            </w:r>
          </w:p>
        </w:tc>
        <w:tc>
          <w:tcPr>
            <w:tcW w:w="653" w:type="dxa"/>
            <w:vMerge w:val="restart"/>
            <w:noWrap w:val="0"/>
            <w:vAlign w:val="center"/>
          </w:tcPr>
          <w:p>
            <w:pPr>
              <w:snapToGrid w:val="0"/>
              <w:rPr>
                <w:rFonts w:hint="eastAsia" w:ascii="宋体" w:hAnsi="宋体"/>
                <w:sz w:val="24"/>
              </w:rPr>
            </w:pPr>
            <w:r>
              <w:rPr>
                <w:rFonts w:hint="eastAsia" w:ascii="宋体" w:hAnsi="宋体"/>
                <w:sz w:val="24"/>
              </w:rPr>
              <w:t>柳田夏家</w:t>
            </w:r>
          </w:p>
        </w:tc>
        <w:tc>
          <w:tcPr>
            <w:tcW w:w="1308" w:type="dxa"/>
            <w:vMerge w:val="restart"/>
            <w:noWrap w:val="0"/>
            <w:vAlign w:val="center"/>
          </w:tcPr>
          <w:p>
            <w:pPr>
              <w:snapToGrid w:val="0"/>
              <w:rPr>
                <w:rFonts w:hint="eastAsia" w:ascii="宋体" w:hAnsi="宋体"/>
                <w:sz w:val="24"/>
              </w:rPr>
            </w:pPr>
            <w:r>
              <w:rPr>
                <w:rFonts w:hint="eastAsia" w:ascii="宋体" w:hAnsi="宋体"/>
                <w:sz w:val="24"/>
              </w:rPr>
              <w:t>博阳河德安保留区</w:t>
            </w:r>
          </w:p>
        </w:tc>
        <w:tc>
          <w:tcPr>
            <w:tcW w:w="916" w:type="dxa"/>
            <w:vMerge w:val="restart"/>
            <w:noWrap w:val="0"/>
            <w:vAlign w:val="center"/>
          </w:tcPr>
          <w:p>
            <w:pPr>
              <w:snapToGrid w:val="0"/>
              <w:rPr>
                <w:rFonts w:hint="eastAsia" w:ascii="宋体" w:hAnsi="宋体"/>
                <w:sz w:val="24"/>
              </w:rPr>
            </w:pPr>
            <w:r>
              <w:rPr>
                <w:rFonts w:hint="eastAsia" w:ascii="宋体" w:hAnsi="宋体"/>
                <w:sz w:val="24"/>
              </w:rPr>
              <w:t>瑞昌市杨段起源</w:t>
            </w:r>
          </w:p>
        </w:tc>
        <w:tc>
          <w:tcPr>
            <w:tcW w:w="1178" w:type="dxa"/>
            <w:vMerge w:val="restart"/>
            <w:noWrap w:val="0"/>
            <w:vAlign w:val="center"/>
          </w:tcPr>
          <w:p>
            <w:pPr>
              <w:snapToGrid w:val="0"/>
              <w:rPr>
                <w:rFonts w:hint="eastAsia" w:ascii="宋体" w:hAnsi="宋体"/>
                <w:sz w:val="24"/>
              </w:rPr>
            </w:pPr>
            <w:r>
              <w:rPr>
                <w:rFonts w:hint="eastAsia" w:ascii="宋体" w:hAnsi="宋体"/>
                <w:sz w:val="24"/>
              </w:rPr>
              <w:t>德安县丰林镇张家公路桥德安水厂取水口上游4Km</w:t>
            </w:r>
          </w:p>
        </w:tc>
        <w:tc>
          <w:tcPr>
            <w:tcW w:w="786" w:type="dxa"/>
            <w:vMerge w:val="restart"/>
            <w:noWrap w:val="0"/>
            <w:vAlign w:val="center"/>
          </w:tcPr>
          <w:p>
            <w:pPr>
              <w:snapToGrid w:val="0"/>
              <w:jc w:val="center"/>
              <w:rPr>
                <w:rFonts w:hint="eastAsia" w:ascii="宋体" w:hAnsi="宋体"/>
                <w:sz w:val="24"/>
              </w:rPr>
            </w:pPr>
            <w:r>
              <w:rPr>
                <w:rFonts w:hint="eastAsia" w:ascii="宋体" w:hAnsi="宋体"/>
                <w:sz w:val="24"/>
              </w:rPr>
              <w:t>68.5</w:t>
            </w:r>
          </w:p>
        </w:tc>
        <w:tc>
          <w:tcPr>
            <w:tcW w:w="820" w:type="dxa"/>
            <w:vMerge w:val="restart"/>
            <w:noWrap w:val="0"/>
            <w:vAlign w:val="center"/>
          </w:tcPr>
          <w:p>
            <w:pPr>
              <w:snapToGrid w:val="0"/>
              <w:jc w:val="center"/>
              <w:rPr>
                <w:rFonts w:hint="eastAsia" w:ascii="宋体" w:hAnsi="宋体"/>
                <w:sz w:val="24"/>
              </w:rPr>
            </w:pPr>
          </w:p>
        </w:tc>
        <w:tc>
          <w:tcPr>
            <w:tcW w:w="542" w:type="dxa"/>
            <w:vMerge w:val="restart"/>
            <w:noWrap w:val="0"/>
            <w:vAlign w:val="center"/>
          </w:tcPr>
          <w:p>
            <w:pPr>
              <w:snapToGrid w:val="0"/>
              <w:jc w:val="center"/>
              <w:rPr>
                <w:rFonts w:ascii="宋体" w:hAnsi="宋体"/>
                <w:sz w:val="24"/>
              </w:rPr>
            </w:pPr>
            <w:r>
              <w:rPr>
                <w:rFonts w:hint="eastAsia" w:ascii="宋体" w:hAnsi="宋体"/>
                <w:sz w:val="24"/>
              </w:rPr>
              <w:t>Ⅲ</w:t>
            </w:r>
          </w:p>
        </w:tc>
        <w:tc>
          <w:tcPr>
            <w:tcW w:w="392" w:type="dxa"/>
            <w:vMerge w:val="restart"/>
            <w:noWrap w:val="0"/>
            <w:vAlign w:val="center"/>
          </w:tcPr>
          <w:p>
            <w:pPr>
              <w:snapToGrid w:val="0"/>
              <w:rPr>
                <w:rFonts w:ascii="宋体" w:hAnsi="宋体"/>
                <w:sz w:val="24"/>
              </w:rPr>
            </w:pPr>
            <w:r>
              <w:rPr>
                <w:rFonts w:hint="eastAsia" w:ascii="宋体" w:hAnsi="宋体"/>
                <w:sz w:val="24"/>
              </w:rPr>
              <w:t>Ⅱ－Ⅲ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hint="eastAsia" w:ascii="宋体" w:hAnsi="宋体"/>
                <w:sz w:val="24"/>
              </w:rPr>
            </w:pPr>
            <w:r>
              <w:rPr>
                <w:rFonts w:hint="eastAsia" w:ascii="宋体" w:hAnsi="宋体"/>
                <w:sz w:val="24"/>
              </w:rPr>
              <w:t>2</w:t>
            </w:r>
          </w:p>
        </w:tc>
        <w:tc>
          <w:tcPr>
            <w:tcW w:w="898" w:type="dxa"/>
            <w:noWrap w:val="0"/>
            <w:vAlign w:val="center"/>
          </w:tcPr>
          <w:p>
            <w:pPr>
              <w:snapToGrid w:val="0"/>
              <w:rPr>
                <w:rFonts w:hint="eastAsia" w:ascii="宋体" w:hAnsi="宋体"/>
                <w:sz w:val="24"/>
              </w:rPr>
            </w:pPr>
            <w:r>
              <w:rPr>
                <w:rFonts w:hint="eastAsia" w:ascii="宋体" w:hAnsi="宋体"/>
                <w:sz w:val="24"/>
              </w:rPr>
              <w:t>彭山水厂</w:t>
            </w:r>
          </w:p>
        </w:tc>
        <w:tc>
          <w:tcPr>
            <w:tcW w:w="655" w:type="dxa"/>
            <w:vMerge w:val="continue"/>
            <w:noWrap w:val="0"/>
            <w:vAlign w:val="center"/>
          </w:tcPr>
          <w:p>
            <w:pPr>
              <w:snapToGrid w:val="0"/>
              <w:rPr>
                <w:rFonts w:hint="eastAsia" w:ascii="宋体" w:hAnsi="宋体"/>
                <w:sz w:val="24"/>
              </w:rPr>
            </w:pPr>
          </w:p>
        </w:tc>
        <w:tc>
          <w:tcPr>
            <w:tcW w:w="653" w:type="dxa"/>
            <w:vMerge w:val="continue"/>
            <w:noWrap w:val="0"/>
            <w:vAlign w:val="center"/>
          </w:tcPr>
          <w:p>
            <w:pPr>
              <w:snapToGrid w:val="0"/>
              <w:rPr>
                <w:rFonts w:hint="eastAsia" w:ascii="宋体" w:hAnsi="宋体"/>
                <w:sz w:val="24"/>
              </w:rPr>
            </w:pPr>
          </w:p>
        </w:tc>
        <w:tc>
          <w:tcPr>
            <w:tcW w:w="1308" w:type="dxa"/>
            <w:vMerge w:val="continue"/>
            <w:noWrap w:val="0"/>
            <w:vAlign w:val="center"/>
          </w:tcPr>
          <w:p>
            <w:pPr>
              <w:snapToGrid w:val="0"/>
              <w:rPr>
                <w:rFonts w:hint="eastAsia" w:ascii="宋体" w:hAnsi="宋体"/>
                <w:sz w:val="24"/>
              </w:rPr>
            </w:pPr>
          </w:p>
        </w:tc>
        <w:tc>
          <w:tcPr>
            <w:tcW w:w="916" w:type="dxa"/>
            <w:vMerge w:val="continue"/>
            <w:noWrap w:val="0"/>
            <w:vAlign w:val="center"/>
          </w:tcPr>
          <w:p>
            <w:pPr>
              <w:snapToGrid w:val="0"/>
              <w:rPr>
                <w:rFonts w:hint="eastAsia" w:ascii="宋体" w:hAnsi="宋体"/>
                <w:sz w:val="24"/>
              </w:rPr>
            </w:pPr>
          </w:p>
        </w:tc>
        <w:tc>
          <w:tcPr>
            <w:tcW w:w="1178" w:type="dxa"/>
            <w:vMerge w:val="continue"/>
            <w:noWrap w:val="0"/>
            <w:vAlign w:val="center"/>
          </w:tcPr>
          <w:p>
            <w:pPr>
              <w:snapToGrid w:val="0"/>
              <w:rPr>
                <w:rFonts w:hint="eastAsia" w:ascii="宋体" w:hAnsi="宋体"/>
                <w:sz w:val="24"/>
              </w:rPr>
            </w:pPr>
          </w:p>
        </w:tc>
        <w:tc>
          <w:tcPr>
            <w:tcW w:w="786" w:type="dxa"/>
            <w:vMerge w:val="continue"/>
            <w:noWrap w:val="0"/>
            <w:vAlign w:val="center"/>
          </w:tcPr>
          <w:p>
            <w:pPr>
              <w:snapToGrid w:val="0"/>
              <w:jc w:val="center"/>
              <w:rPr>
                <w:rFonts w:hint="eastAsia" w:ascii="宋体" w:hAnsi="宋体"/>
                <w:sz w:val="24"/>
              </w:rPr>
            </w:pPr>
          </w:p>
        </w:tc>
        <w:tc>
          <w:tcPr>
            <w:tcW w:w="820" w:type="dxa"/>
            <w:vMerge w:val="continue"/>
            <w:noWrap w:val="0"/>
            <w:vAlign w:val="center"/>
          </w:tcPr>
          <w:p>
            <w:pPr>
              <w:snapToGrid w:val="0"/>
              <w:jc w:val="center"/>
              <w:rPr>
                <w:rFonts w:hint="eastAsia" w:ascii="宋体" w:hAnsi="宋体"/>
                <w:sz w:val="24"/>
              </w:rPr>
            </w:pPr>
          </w:p>
        </w:tc>
        <w:tc>
          <w:tcPr>
            <w:tcW w:w="542" w:type="dxa"/>
            <w:vMerge w:val="continue"/>
            <w:noWrap w:val="0"/>
            <w:vAlign w:val="center"/>
          </w:tcPr>
          <w:p>
            <w:pPr>
              <w:snapToGrid w:val="0"/>
              <w:jc w:val="center"/>
              <w:rPr>
                <w:rFonts w:ascii="宋体" w:hAnsi="宋体"/>
                <w:sz w:val="24"/>
              </w:rPr>
            </w:pPr>
          </w:p>
        </w:tc>
        <w:tc>
          <w:tcPr>
            <w:tcW w:w="392" w:type="dxa"/>
            <w:vMerge w:val="continue"/>
            <w:noWrap w:val="0"/>
            <w:vAlign w:val="center"/>
          </w:tcPr>
          <w:p>
            <w:pPr>
              <w:snapToGrid w:val="0"/>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ascii="宋体" w:hAnsi="宋体"/>
                <w:sz w:val="24"/>
              </w:rPr>
            </w:pPr>
            <w:r>
              <w:rPr>
                <w:rFonts w:hint="eastAsia" w:ascii="宋体" w:hAnsi="宋体"/>
                <w:sz w:val="24"/>
              </w:rPr>
              <w:t>3</w:t>
            </w:r>
          </w:p>
        </w:tc>
        <w:tc>
          <w:tcPr>
            <w:tcW w:w="898" w:type="dxa"/>
            <w:noWrap w:val="0"/>
            <w:vAlign w:val="center"/>
          </w:tcPr>
          <w:p>
            <w:pPr>
              <w:snapToGrid w:val="0"/>
              <w:rPr>
                <w:rFonts w:ascii="宋体" w:hAnsi="宋体"/>
                <w:sz w:val="24"/>
              </w:rPr>
            </w:pPr>
            <w:r>
              <w:rPr>
                <w:rFonts w:hint="eastAsia" w:ascii="宋体" w:hAnsi="宋体"/>
                <w:sz w:val="24"/>
                <w:lang w:val="en-US" w:eastAsia="zh-CN"/>
              </w:rPr>
              <w:t>林泉</w:t>
            </w:r>
            <w:r>
              <w:rPr>
                <w:rFonts w:hint="eastAsia" w:ascii="宋体" w:hAnsi="宋体"/>
                <w:sz w:val="24"/>
              </w:rPr>
              <w:t>水厂</w:t>
            </w:r>
          </w:p>
        </w:tc>
        <w:tc>
          <w:tcPr>
            <w:tcW w:w="655" w:type="dxa"/>
            <w:noWrap w:val="0"/>
            <w:vAlign w:val="center"/>
          </w:tcPr>
          <w:p>
            <w:pPr>
              <w:snapToGrid w:val="0"/>
              <w:rPr>
                <w:rFonts w:hint="eastAsia" w:ascii="宋体" w:hAnsi="宋体"/>
                <w:sz w:val="24"/>
              </w:rPr>
            </w:pPr>
            <w:r>
              <w:rPr>
                <w:rFonts w:hint="eastAsia" w:ascii="宋体" w:hAnsi="宋体"/>
                <w:sz w:val="24"/>
              </w:rPr>
              <w:t>博阳河</w:t>
            </w:r>
          </w:p>
        </w:tc>
        <w:tc>
          <w:tcPr>
            <w:tcW w:w="653" w:type="dxa"/>
            <w:noWrap w:val="0"/>
            <w:vAlign w:val="center"/>
          </w:tcPr>
          <w:p>
            <w:pPr>
              <w:snapToGrid w:val="0"/>
              <w:rPr>
                <w:rFonts w:hint="eastAsia" w:ascii="宋体" w:hAnsi="宋体"/>
                <w:sz w:val="24"/>
              </w:rPr>
            </w:pPr>
            <w:r>
              <w:rPr>
                <w:rFonts w:hint="eastAsia" w:ascii="宋体" w:hAnsi="宋体"/>
                <w:sz w:val="24"/>
              </w:rPr>
              <w:t>林泉水库</w:t>
            </w:r>
          </w:p>
        </w:tc>
        <w:tc>
          <w:tcPr>
            <w:tcW w:w="1308" w:type="dxa"/>
            <w:noWrap w:val="0"/>
            <w:vAlign w:val="center"/>
          </w:tcPr>
          <w:p>
            <w:pPr>
              <w:snapToGrid w:val="0"/>
              <w:rPr>
                <w:rFonts w:hint="eastAsia" w:ascii="宋体" w:hAnsi="宋体"/>
                <w:sz w:val="24"/>
              </w:rPr>
            </w:pPr>
            <w:r>
              <w:rPr>
                <w:rFonts w:hint="eastAsia" w:ascii="宋体" w:hAnsi="宋体"/>
                <w:sz w:val="24"/>
              </w:rPr>
              <w:t>未列入水功能区划</w:t>
            </w:r>
          </w:p>
        </w:tc>
        <w:tc>
          <w:tcPr>
            <w:tcW w:w="916" w:type="dxa"/>
            <w:tcBorders>
              <w:right w:val="single" w:color="auto" w:sz="4" w:space="0"/>
            </w:tcBorders>
            <w:noWrap w:val="0"/>
            <w:vAlign w:val="center"/>
          </w:tcPr>
          <w:p>
            <w:pPr>
              <w:snapToGrid w:val="0"/>
              <w:rPr>
                <w:rFonts w:hint="eastAsia" w:ascii="宋体" w:hAnsi="宋体"/>
                <w:sz w:val="24"/>
              </w:rPr>
            </w:pPr>
          </w:p>
        </w:tc>
        <w:tc>
          <w:tcPr>
            <w:tcW w:w="1178" w:type="dxa"/>
            <w:tcBorders>
              <w:left w:val="single" w:color="auto" w:sz="4" w:space="0"/>
            </w:tcBorders>
            <w:noWrap w:val="0"/>
            <w:vAlign w:val="center"/>
          </w:tcPr>
          <w:p>
            <w:pPr>
              <w:snapToGrid w:val="0"/>
              <w:rPr>
                <w:rFonts w:hint="eastAsia" w:ascii="宋体" w:hAnsi="宋体"/>
                <w:sz w:val="24"/>
              </w:rPr>
            </w:pPr>
          </w:p>
        </w:tc>
        <w:tc>
          <w:tcPr>
            <w:tcW w:w="786" w:type="dxa"/>
            <w:noWrap w:val="0"/>
            <w:vAlign w:val="center"/>
          </w:tcPr>
          <w:p>
            <w:pPr>
              <w:snapToGrid w:val="0"/>
              <w:jc w:val="center"/>
              <w:rPr>
                <w:rFonts w:hint="eastAsia" w:ascii="宋体" w:hAnsi="宋体"/>
                <w:sz w:val="24"/>
              </w:rPr>
            </w:pPr>
          </w:p>
        </w:tc>
        <w:tc>
          <w:tcPr>
            <w:tcW w:w="820" w:type="dxa"/>
            <w:noWrap w:val="0"/>
            <w:vAlign w:val="center"/>
          </w:tcPr>
          <w:p>
            <w:pPr>
              <w:snapToGrid w:val="0"/>
              <w:jc w:val="center"/>
              <w:rPr>
                <w:rFonts w:hint="eastAsia" w:ascii="宋体" w:hAnsi="宋体"/>
                <w:sz w:val="24"/>
              </w:rPr>
            </w:pPr>
          </w:p>
        </w:tc>
        <w:tc>
          <w:tcPr>
            <w:tcW w:w="542" w:type="dxa"/>
            <w:noWrap w:val="0"/>
            <w:vAlign w:val="center"/>
          </w:tcPr>
          <w:p>
            <w:pPr>
              <w:snapToGrid w:val="0"/>
              <w:jc w:val="center"/>
              <w:rPr>
                <w:rFonts w:ascii="宋体" w:hAnsi="宋体"/>
                <w:sz w:val="24"/>
              </w:rPr>
            </w:pPr>
            <w:r>
              <w:rPr>
                <w:rFonts w:hint="eastAsia" w:ascii="宋体" w:hAnsi="宋体"/>
                <w:sz w:val="24"/>
              </w:rPr>
              <w:t>Ⅲ</w:t>
            </w:r>
          </w:p>
        </w:tc>
        <w:tc>
          <w:tcPr>
            <w:tcW w:w="392" w:type="dxa"/>
            <w:noWrap w:val="0"/>
            <w:vAlign w:val="center"/>
          </w:tcPr>
          <w:p>
            <w:pPr>
              <w:snapToGrid w:val="0"/>
              <w:rPr>
                <w:rFonts w:ascii="宋体" w:hAnsi="宋体"/>
                <w:sz w:val="24"/>
              </w:rPr>
            </w:pPr>
            <w:r>
              <w:rPr>
                <w:rFonts w:hint="eastAsia" w:ascii="宋体" w:hAnsi="宋体"/>
                <w:sz w:val="24"/>
              </w:rPr>
              <w:t>Ⅱ－Ⅲ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77" w:type="dxa"/>
            <w:noWrap w:val="0"/>
            <w:vAlign w:val="center"/>
          </w:tcPr>
          <w:p>
            <w:pPr>
              <w:snapToGrid w:val="0"/>
              <w:jc w:val="center"/>
              <w:rPr>
                <w:rFonts w:ascii="宋体" w:hAnsi="宋体"/>
                <w:sz w:val="24"/>
              </w:rPr>
            </w:pPr>
            <w:r>
              <w:rPr>
                <w:rFonts w:hint="eastAsia" w:ascii="宋体" w:hAnsi="宋体"/>
                <w:sz w:val="24"/>
              </w:rPr>
              <w:t>4</w:t>
            </w:r>
          </w:p>
        </w:tc>
        <w:tc>
          <w:tcPr>
            <w:tcW w:w="898" w:type="dxa"/>
            <w:noWrap w:val="0"/>
            <w:vAlign w:val="center"/>
          </w:tcPr>
          <w:p>
            <w:pPr>
              <w:snapToGrid w:val="0"/>
              <w:rPr>
                <w:rFonts w:ascii="宋体" w:hAnsi="宋体"/>
                <w:sz w:val="24"/>
              </w:rPr>
            </w:pPr>
            <w:r>
              <w:rPr>
                <w:rFonts w:hint="eastAsia" w:ascii="宋体" w:hAnsi="宋体"/>
                <w:sz w:val="24"/>
              </w:rPr>
              <w:t>邹桥水厂</w:t>
            </w:r>
          </w:p>
        </w:tc>
        <w:tc>
          <w:tcPr>
            <w:tcW w:w="655" w:type="dxa"/>
            <w:noWrap w:val="0"/>
            <w:vAlign w:val="center"/>
          </w:tcPr>
          <w:p>
            <w:pPr>
              <w:snapToGrid w:val="0"/>
              <w:rPr>
                <w:rFonts w:ascii="宋体" w:hAnsi="宋体"/>
                <w:sz w:val="24"/>
              </w:rPr>
            </w:pPr>
            <w:r>
              <w:rPr>
                <w:rFonts w:hint="eastAsia" w:ascii="宋体" w:hAnsi="宋体"/>
                <w:sz w:val="24"/>
              </w:rPr>
              <w:t>博阳河</w:t>
            </w:r>
          </w:p>
        </w:tc>
        <w:tc>
          <w:tcPr>
            <w:tcW w:w="653" w:type="dxa"/>
            <w:noWrap w:val="0"/>
            <w:vAlign w:val="center"/>
          </w:tcPr>
          <w:p>
            <w:pPr>
              <w:snapToGrid w:val="0"/>
              <w:rPr>
                <w:rFonts w:hint="eastAsia" w:ascii="宋体" w:hAnsi="宋体"/>
                <w:sz w:val="24"/>
              </w:rPr>
            </w:pPr>
            <w:r>
              <w:rPr>
                <w:rFonts w:hint="eastAsia" w:ascii="宋体" w:hAnsi="宋体"/>
                <w:sz w:val="24"/>
              </w:rPr>
              <w:t>湖塘水库</w:t>
            </w:r>
          </w:p>
        </w:tc>
        <w:tc>
          <w:tcPr>
            <w:tcW w:w="1308" w:type="dxa"/>
            <w:noWrap w:val="0"/>
            <w:vAlign w:val="center"/>
          </w:tcPr>
          <w:p>
            <w:pPr>
              <w:snapToGrid w:val="0"/>
              <w:rPr>
                <w:rFonts w:hint="eastAsia" w:ascii="宋体" w:hAnsi="宋体"/>
                <w:sz w:val="24"/>
              </w:rPr>
            </w:pPr>
            <w:r>
              <w:rPr>
                <w:rFonts w:hint="eastAsia" w:ascii="宋体" w:hAnsi="宋体"/>
                <w:sz w:val="24"/>
              </w:rPr>
              <w:t>博阳河德安保留区</w:t>
            </w:r>
          </w:p>
        </w:tc>
        <w:tc>
          <w:tcPr>
            <w:tcW w:w="916" w:type="dxa"/>
            <w:tcBorders>
              <w:right w:val="single" w:color="auto" w:sz="4" w:space="0"/>
            </w:tcBorders>
            <w:noWrap w:val="0"/>
            <w:vAlign w:val="center"/>
          </w:tcPr>
          <w:p>
            <w:pPr>
              <w:snapToGrid w:val="0"/>
              <w:rPr>
                <w:rFonts w:hint="eastAsia" w:ascii="宋体" w:hAnsi="宋体"/>
                <w:sz w:val="24"/>
              </w:rPr>
            </w:pPr>
            <w:r>
              <w:rPr>
                <w:rFonts w:hint="eastAsia" w:ascii="宋体" w:hAnsi="宋体"/>
                <w:sz w:val="24"/>
              </w:rPr>
              <w:t>瑞昌市杨段起源</w:t>
            </w:r>
          </w:p>
        </w:tc>
        <w:tc>
          <w:tcPr>
            <w:tcW w:w="1178" w:type="dxa"/>
            <w:tcBorders>
              <w:left w:val="single" w:color="auto" w:sz="4" w:space="0"/>
            </w:tcBorders>
            <w:noWrap w:val="0"/>
            <w:vAlign w:val="center"/>
          </w:tcPr>
          <w:p>
            <w:pPr>
              <w:snapToGrid w:val="0"/>
              <w:rPr>
                <w:rFonts w:hint="eastAsia" w:ascii="宋体" w:hAnsi="宋体"/>
                <w:sz w:val="24"/>
              </w:rPr>
            </w:pPr>
            <w:r>
              <w:rPr>
                <w:rFonts w:hint="eastAsia" w:ascii="宋体" w:hAnsi="宋体"/>
                <w:sz w:val="24"/>
              </w:rPr>
              <w:t>德安县丰林镇张家公路桥德安水厂取水口上游4KM</w:t>
            </w:r>
          </w:p>
        </w:tc>
        <w:tc>
          <w:tcPr>
            <w:tcW w:w="786" w:type="dxa"/>
            <w:noWrap w:val="0"/>
            <w:vAlign w:val="center"/>
          </w:tcPr>
          <w:p>
            <w:pPr>
              <w:snapToGrid w:val="0"/>
              <w:jc w:val="center"/>
              <w:rPr>
                <w:rFonts w:hint="eastAsia" w:ascii="宋体" w:hAnsi="宋体"/>
                <w:sz w:val="24"/>
              </w:rPr>
            </w:pPr>
            <w:r>
              <w:rPr>
                <w:rFonts w:hint="eastAsia" w:ascii="宋体" w:hAnsi="宋体"/>
                <w:sz w:val="24"/>
              </w:rPr>
              <w:t>68.5</w:t>
            </w:r>
          </w:p>
        </w:tc>
        <w:tc>
          <w:tcPr>
            <w:tcW w:w="820" w:type="dxa"/>
            <w:noWrap w:val="0"/>
            <w:vAlign w:val="center"/>
          </w:tcPr>
          <w:p>
            <w:pPr>
              <w:snapToGrid w:val="0"/>
              <w:jc w:val="center"/>
              <w:rPr>
                <w:rFonts w:hint="eastAsia" w:ascii="宋体" w:hAnsi="宋体"/>
                <w:sz w:val="24"/>
              </w:rPr>
            </w:pPr>
          </w:p>
        </w:tc>
        <w:tc>
          <w:tcPr>
            <w:tcW w:w="542" w:type="dxa"/>
            <w:noWrap w:val="0"/>
            <w:vAlign w:val="center"/>
          </w:tcPr>
          <w:p>
            <w:pPr>
              <w:snapToGrid w:val="0"/>
              <w:jc w:val="center"/>
              <w:rPr>
                <w:rFonts w:ascii="宋体" w:hAnsi="宋体"/>
                <w:sz w:val="24"/>
              </w:rPr>
            </w:pPr>
            <w:r>
              <w:rPr>
                <w:rFonts w:hint="eastAsia" w:ascii="宋体" w:hAnsi="宋体"/>
                <w:sz w:val="24"/>
              </w:rPr>
              <w:t>Ⅲ</w:t>
            </w:r>
          </w:p>
        </w:tc>
        <w:tc>
          <w:tcPr>
            <w:tcW w:w="392" w:type="dxa"/>
            <w:noWrap w:val="0"/>
            <w:vAlign w:val="center"/>
          </w:tcPr>
          <w:p>
            <w:pPr>
              <w:snapToGrid w:val="0"/>
              <w:rPr>
                <w:rFonts w:ascii="宋体" w:hAnsi="宋体"/>
                <w:sz w:val="24"/>
              </w:rPr>
            </w:pPr>
            <w:r>
              <w:rPr>
                <w:rFonts w:hint="eastAsia" w:ascii="宋体" w:hAnsi="宋体"/>
                <w:sz w:val="24"/>
              </w:rPr>
              <w:t>Ⅱ－Ⅲ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ascii="宋体" w:hAnsi="宋体"/>
                <w:sz w:val="24"/>
              </w:rPr>
            </w:pPr>
            <w:r>
              <w:rPr>
                <w:rFonts w:hint="eastAsia" w:ascii="宋体" w:hAnsi="宋体"/>
                <w:sz w:val="24"/>
              </w:rPr>
              <w:t>5</w:t>
            </w:r>
          </w:p>
        </w:tc>
        <w:tc>
          <w:tcPr>
            <w:tcW w:w="898" w:type="dxa"/>
            <w:noWrap w:val="0"/>
            <w:vAlign w:val="center"/>
          </w:tcPr>
          <w:p>
            <w:pPr>
              <w:snapToGrid w:val="0"/>
              <w:rPr>
                <w:rFonts w:ascii="宋体" w:hAnsi="宋体"/>
                <w:sz w:val="24"/>
              </w:rPr>
            </w:pPr>
            <w:r>
              <w:rPr>
                <w:rFonts w:hint="eastAsia" w:ascii="宋体" w:hAnsi="宋体"/>
                <w:sz w:val="24"/>
              </w:rPr>
              <w:t>车桥水厂</w:t>
            </w:r>
          </w:p>
        </w:tc>
        <w:tc>
          <w:tcPr>
            <w:tcW w:w="655" w:type="dxa"/>
            <w:noWrap w:val="0"/>
            <w:vAlign w:val="center"/>
          </w:tcPr>
          <w:p>
            <w:pPr>
              <w:snapToGrid w:val="0"/>
              <w:rPr>
                <w:rFonts w:ascii="宋体" w:hAnsi="宋体"/>
                <w:sz w:val="24"/>
              </w:rPr>
            </w:pPr>
            <w:r>
              <w:rPr>
                <w:rFonts w:hint="eastAsia" w:ascii="宋体" w:hAnsi="宋体"/>
                <w:sz w:val="24"/>
              </w:rPr>
              <w:t>博阳河车桥水</w:t>
            </w:r>
          </w:p>
        </w:tc>
        <w:tc>
          <w:tcPr>
            <w:tcW w:w="653" w:type="dxa"/>
            <w:noWrap w:val="0"/>
            <w:vAlign w:val="center"/>
          </w:tcPr>
          <w:p>
            <w:pPr>
              <w:snapToGrid w:val="0"/>
              <w:rPr>
                <w:rFonts w:hint="eastAsia" w:ascii="宋体" w:hAnsi="宋体"/>
                <w:sz w:val="24"/>
              </w:rPr>
            </w:pPr>
            <w:r>
              <w:rPr>
                <w:rFonts w:hint="eastAsia" w:ascii="宋体" w:hAnsi="宋体"/>
                <w:sz w:val="24"/>
              </w:rPr>
              <w:t>上易水库</w:t>
            </w:r>
          </w:p>
        </w:tc>
        <w:tc>
          <w:tcPr>
            <w:tcW w:w="1308" w:type="dxa"/>
            <w:noWrap w:val="0"/>
            <w:vAlign w:val="center"/>
          </w:tcPr>
          <w:p>
            <w:pPr>
              <w:snapToGrid w:val="0"/>
              <w:rPr>
                <w:rFonts w:hint="eastAsia" w:ascii="宋体" w:hAnsi="宋体"/>
                <w:sz w:val="24"/>
              </w:rPr>
            </w:pPr>
            <w:r>
              <w:rPr>
                <w:rFonts w:hint="eastAsia" w:ascii="宋体" w:hAnsi="宋体"/>
                <w:sz w:val="24"/>
              </w:rPr>
              <w:t>车桥水德安县保留区</w:t>
            </w:r>
          </w:p>
        </w:tc>
        <w:tc>
          <w:tcPr>
            <w:tcW w:w="916" w:type="dxa"/>
            <w:tcBorders>
              <w:right w:val="single" w:color="auto" w:sz="4" w:space="0"/>
            </w:tcBorders>
            <w:noWrap w:val="0"/>
            <w:vAlign w:val="center"/>
          </w:tcPr>
          <w:p>
            <w:pPr>
              <w:snapToGrid w:val="0"/>
              <w:rPr>
                <w:rFonts w:hint="eastAsia" w:ascii="宋体" w:hAnsi="宋体"/>
                <w:sz w:val="24"/>
              </w:rPr>
            </w:pPr>
            <w:r>
              <w:rPr>
                <w:rFonts w:hint="eastAsia" w:ascii="宋体" w:hAnsi="宋体"/>
                <w:sz w:val="24"/>
              </w:rPr>
              <w:t>德安县车桥镇上易村台锥与昆山交接处</w:t>
            </w:r>
          </w:p>
        </w:tc>
        <w:tc>
          <w:tcPr>
            <w:tcW w:w="1178" w:type="dxa"/>
            <w:tcBorders>
              <w:left w:val="single" w:color="auto" w:sz="4" w:space="0"/>
            </w:tcBorders>
            <w:noWrap w:val="0"/>
            <w:vAlign w:val="center"/>
          </w:tcPr>
          <w:p>
            <w:pPr>
              <w:snapToGrid w:val="0"/>
              <w:rPr>
                <w:rFonts w:hint="eastAsia" w:ascii="宋体" w:hAnsi="宋体"/>
                <w:sz w:val="24"/>
              </w:rPr>
            </w:pPr>
            <w:r>
              <w:rPr>
                <w:rFonts w:hint="eastAsia" w:ascii="宋体" w:hAnsi="宋体"/>
                <w:sz w:val="24"/>
              </w:rPr>
              <w:t>德安县磨溪乡河背村入博阳河口</w:t>
            </w:r>
          </w:p>
        </w:tc>
        <w:tc>
          <w:tcPr>
            <w:tcW w:w="786" w:type="dxa"/>
            <w:noWrap w:val="0"/>
            <w:vAlign w:val="center"/>
          </w:tcPr>
          <w:p>
            <w:pPr>
              <w:snapToGrid w:val="0"/>
              <w:jc w:val="center"/>
              <w:rPr>
                <w:rFonts w:hint="eastAsia" w:ascii="宋体" w:hAnsi="宋体"/>
                <w:sz w:val="24"/>
              </w:rPr>
            </w:pPr>
            <w:r>
              <w:rPr>
                <w:rFonts w:hint="eastAsia" w:ascii="宋体" w:hAnsi="宋体"/>
                <w:sz w:val="24"/>
              </w:rPr>
              <w:t>28.3</w:t>
            </w:r>
          </w:p>
        </w:tc>
        <w:tc>
          <w:tcPr>
            <w:tcW w:w="820" w:type="dxa"/>
            <w:noWrap w:val="0"/>
            <w:vAlign w:val="center"/>
          </w:tcPr>
          <w:p>
            <w:pPr>
              <w:snapToGrid w:val="0"/>
              <w:jc w:val="center"/>
              <w:rPr>
                <w:rFonts w:hint="eastAsia" w:ascii="宋体" w:hAnsi="宋体"/>
                <w:sz w:val="24"/>
              </w:rPr>
            </w:pPr>
          </w:p>
        </w:tc>
        <w:tc>
          <w:tcPr>
            <w:tcW w:w="542" w:type="dxa"/>
            <w:noWrap w:val="0"/>
            <w:vAlign w:val="center"/>
          </w:tcPr>
          <w:p>
            <w:pPr>
              <w:snapToGrid w:val="0"/>
              <w:jc w:val="center"/>
              <w:rPr>
                <w:rFonts w:ascii="宋体" w:hAnsi="宋体"/>
                <w:sz w:val="24"/>
              </w:rPr>
            </w:pPr>
            <w:r>
              <w:rPr>
                <w:rFonts w:hint="eastAsia" w:ascii="宋体" w:hAnsi="宋体"/>
                <w:sz w:val="24"/>
              </w:rPr>
              <w:t>Ⅲ</w:t>
            </w:r>
          </w:p>
        </w:tc>
        <w:tc>
          <w:tcPr>
            <w:tcW w:w="392" w:type="dxa"/>
            <w:noWrap w:val="0"/>
            <w:vAlign w:val="center"/>
          </w:tcPr>
          <w:p>
            <w:pPr>
              <w:snapToGrid w:val="0"/>
              <w:rPr>
                <w:rFonts w:ascii="宋体" w:hAnsi="宋体"/>
                <w:sz w:val="24"/>
              </w:rPr>
            </w:pPr>
            <w:r>
              <w:rPr>
                <w:rFonts w:hint="eastAsia" w:ascii="宋体" w:hAnsi="宋体"/>
                <w:sz w:val="24"/>
              </w:rPr>
              <w:t>Ⅱ－Ⅲ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ascii="宋体" w:hAnsi="宋体"/>
                <w:sz w:val="24"/>
              </w:rPr>
            </w:pPr>
            <w:r>
              <w:rPr>
                <w:rFonts w:hint="eastAsia" w:ascii="宋体" w:hAnsi="宋体"/>
                <w:sz w:val="24"/>
              </w:rPr>
              <w:t>6</w:t>
            </w:r>
          </w:p>
        </w:tc>
        <w:tc>
          <w:tcPr>
            <w:tcW w:w="898" w:type="dxa"/>
            <w:noWrap w:val="0"/>
            <w:vAlign w:val="center"/>
          </w:tcPr>
          <w:p>
            <w:pPr>
              <w:snapToGrid w:val="0"/>
              <w:rPr>
                <w:rFonts w:ascii="宋体" w:hAnsi="宋体"/>
                <w:sz w:val="24"/>
              </w:rPr>
            </w:pPr>
            <w:r>
              <w:rPr>
                <w:rFonts w:hint="eastAsia" w:ascii="宋体" w:hAnsi="宋体"/>
                <w:sz w:val="24"/>
              </w:rPr>
              <w:t>红桥水厂</w:t>
            </w:r>
          </w:p>
        </w:tc>
        <w:tc>
          <w:tcPr>
            <w:tcW w:w="655" w:type="dxa"/>
            <w:noWrap w:val="0"/>
            <w:vAlign w:val="center"/>
          </w:tcPr>
          <w:p>
            <w:pPr>
              <w:snapToGrid w:val="0"/>
              <w:rPr>
                <w:rFonts w:ascii="宋体" w:hAnsi="宋体"/>
                <w:sz w:val="24"/>
              </w:rPr>
            </w:pPr>
            <w:r>
              <w:rPr>
                <w:rFonts w:hint="eastAsia" w:ascii="宋体" w:hAnsi="宋体"/>
                <w:sz w:val="24"/>
              </w:rPr>
              <w:t>博阳河田家河</w:t>
            </w:r>
          </w:p>
        </w:tc>
        <w:tc>
          <w:tcPr>
            <w:tcW w:w="653" w:type="dxa"/>
            <w:noWrap w:val="0"/>
            <w:vAlign w:val="center"/>
          </w:tcPr>
          <w:p>
            <w:pPr>
              <w:snapToGrid w:val="0"/>
              <w:rPr>
                <w:rFonts w:hint="eastAsia" w:ascii="宋体" w:hAnsi="宋体"/>
                <w:sz w:val="24"/>
              </w:rPr>
            </w:pPr>
            <w:r>
              <w:rPr>
                <w:rFonts w:hint="eastAsia" w:ascii="宋体" w:hAnsi="宋体"/>
                <w:sz w:val="24"/>
              </w:rPr>
              <w:t>红桥水库</w:t>
            </w:r>
          </w:p>
        </w:tc>
        <w:tc>
          <w:tcPr>
            <w:tcW w:w="1308" w:type="dxa"/>
            <w:noWrap w:val="0"/>
            <w:vAlign w:val="center"/>
          </w:tcPr>
          <w:p>
            <w:pPr>
              <w:snapToGrid w:val="0"/>
              <w:rPr>
                <w:rFonts w:hint="eastAsia" w:ascii="宋体" w:hAnsi="宋体"/>
                <w:sz w:val="24"/>
              </w:rPr>
            </w:pPr>
            <w:r>
              <w:rPr>
                <w:rFonts w:hint="eastAsia" w:ascii="宋体" w:hAnsi="宋体"/>
                <w:sz w:val="24"/>
              </w:rPr>
              <w:t>盘子山水德安县保留区</w:t>
            </w:r>
          </w:p>
        </w:tc>
        <w:tc>
          <w:tcPr>
            <w:tcW w:w="916" w:type="dxa"/>
            <w:tcBorders>
              <w:right w:val="single" w:color="auto" w:sz="4" w:space="0"/>
            </w:tcBorders>
            <w:noWrap w:val="0"/>
            <w:vAlign w:val="center"/>
          </w:tcPr>
          <w:p>
            <w:pPr>
              <w:snapToGrid w:val="0"/>
              <w:rPr>
                <w:rFonts w:hint="eastAsia" w:ascii="宋体" w:hAnsi="宋体"/>
                <w:sz w:val="24"/>
              </w:rPr>
            </w:pPr>
            <w:r>
              <w:rPr>
                <w:rFonts w:hint="eastAsia" w:ascii="宋体" w:hAnsi="宋体"/>
                <w:sz w:val="24"/>
              </w:rPr>
              <w:t>德安县吴山乡杨柳村李家山</w:t>
            </w:r>
          </w:p>
        </w:tc>
        <w:tc>
          <w:tcPr>
            <w:tcW w:w="1178" w:type="dxa"/>
            <w:tcBorders>
              <w:left w:val="single" w:color="auto" w:sz="4" w:space="0"/>
            </w:tcBorders>
            <w:noWrap w:val="0"/>
            <w:vAlign w:val="center"/>
          </w:tcPr>
          <w:p>
            <w:pPr>
              <w:snapToGrid w:val="0"/>
              <w:rPr>
                <w:rFonts w:hint="eastAsia" w:ascii="宋体" w:hAnsi="宋体"/>
                <w:sz w:val="24"/>
              </w:rPr>
            </w:pPr>
            <w:r>
              <w:rPr>
                <w:rFonts w:hint="eastAsia" w:ascii="宋体" w:hAnsi="宋体"/>
                <w:sz w:val="24"/>
              </w:rPr>
              <w:t>德安县吴山乡田家村入田家河口</w:t>
            </w:r>
          </w:p>
        </w:tc>
        <w:tc>
          <w:tcPr>
            <w:tcW w:w="786" w:type="dxa"/>
            <w:noWrap w:val="0"/>
            <w:vAlign w:val="center"/>
          </w:tcPr>
          <w:p>
            <w:pPr>
              <w:snapToGrid w:val="0"/>
              <w:jc w:val="center"/>
              <w:rPr>
                <w:rFonts w:hint="eastAsia" w:ascii="宋体" w:hAnsi="宋体"/>
                <w:sz w:val="24"/>
              </w:rPr>
            </w:pPr>
            <w:r>
              <w:rPr>
                <w:rFonts w:hint="eastAsia" w:ascii="宋体" w:hAnsi="宋体"/>
                <w:sz w:val="24"/>
              </w:rPr>
              <w:t>19.2</w:t>
            </w:r>
          </w:p>
        </w:tc>
        <w:tc>
          <w:tcPr>
            <w:tcW w:w="820" w:type="dxa"/>
            <w:noWrap w:val="0"/>
            <w:vAlign w:val="center"/>
          </w:tcPr>
          <w:p>
            <w:pPr>
              <w:snapToGrid w:val="0"/>
              <w:jc w:val="center"/>
              <w:rPr>
                <w:rFonts w:hint="eastAsia" w:ascii="宋体" w:hAnsi="宋体"/>
                <w:sz w:val="24"/>
              </w:rPr>
            </w:pPr>
          </w:p>
        </w:tc>
        <w:tc>
          <w:tcPr>
            <w:tcW w:w="542" w:type="dxa"/>
            <w:noWrap w:val="0"/>
            <w:vAlign w:val="center"/>
          </w:tcPr>
          <w:p>
            <w:pPr>
              <w:snapToGrid w:val="0"/>
              <w:jc w:val="center"/>
              <w:rPr>
                <w:rFonts w:ascii="宋体" w:hAnsi="宋体"/>
                <w:sz w:val="24"/>
              </w:rPr>
            </w:pPr>
            <w:r>
              <w:rPr>
                <w:rFonts w:hint="eastAsia" w:ascii="宋体" w:hAnsi="宋体"/>
                <w:sz w:val="24"/>
              </w:rPr>
              <w:t>Ⅲ</w:t>
            </w:r>
          </w:p>
        </w:tc>
        <w:tc>
          <w:tcPr>
            <w:tcW w:w="392" w:type="dxa"/>
            <w:noWrap w:val="0"/>
            <w:vAlign w:val="center"/>
          </w:tcPr>
          <w:p>
            <w:pPr>
              <w:snapToGrid w:val="0"/>
              <w:rPr>
                <w:rFonts w:ascii="宋体" w:hAnsi="宋体"/>
                <w:sz w:val="24"/>
              </w:rPr>
            </w:pPr>
            <w:r>
              <w:rPr>
                <w:rFonts w:hint="eastAsia" w:ascii="宋体" w:hAnsi="宋体"/>
                <w:sz w:val="24"/>
              </w:rPr>
              <w:t>Ⅱ－Ⅲ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hint="eastAsia" w:ascii="宋体" w:hAnsi="宋体" w:eastAsia="宋体"/>
                <w:sz w:val="24"/>
                <w:lang w:eastAsia="zh-CN"/>
              </w:rPr>
            </w:pPr>
            <w:r>
              <w:rPr>
                <w:rFonts w:hint="eastAsia" w:ascii="宋体" w:hAnsi="宋体"/>
                <w:sz w:val="24"/>
                <w:lang w:val="en-US" w:eastAsia="zh-CN"/>
              </w:rPr>
              <w:t>7</w:t>
            </w:r>
          </w:p>
        </w:tc>
        <w:tc>
          <w:tcPr>
            <w:tcW w:w="898" w:type="dxa"/>
            <w:noWrap w:val="0"/>
            <w:vAlign w:val="center"/>
          </w:tcPr>
          <w:p>
            <w:pPr>
              <w:snapToGrid w:val="0"/>
              <w:rPr>
                <w:rFonts w:ascii="宋体" w:hAnsi="宋体"/>
                <w:sz w:val="24"/>
              </w:rPr>
            </w:pPr>
            <w:r>
              <w:rPr>
                <w:rFonts w:hint="eastAsia" w:ascii="宋体" w:hAnsi="宋体"/>
                <w:sz w:val="24"/>
              </w:rPr>
              <w:t>塘山水厂</w:t>
            </w:r>
          </w:p>
        </w:tc>
        <w:tc>
          <w:tcPr>
            <w:tcW w:w="655" w:type="dxa"/>
            <w:noWrap w:val="0"/>
            <w:vAlign w:val="center"/>
          </w:tcPr>
          <w:p>
            <w:pPr>
              <w:snapToGrid w:val="0"/>
              <w:rPr>
                <w:rFonts w:ascii="宋体" w:hAnsi="宋体"/>
                <w:sz w:val="24"/>
              </w:rPr>
            </w:pPr>
            <w:r>
              <w:rPr>
                <w:rFonts w:hint="eastAsia" w:ascii="宋体" w:hAnsi="宋体"/>
                <w:sz w:val="24"/>
              </w:rPr>
              <w:t>狐狸洞暗河</w:t>
            </w:r>
          </w:p>
        </w:tc>
        <w:tc>
          <w:tcPr>
            <w:tcW w:w="653" w:type="dxa"/>
            <w:noWrap w:val="0"/>
            <w:vAlign w:val="center"/>
          </w:tcPr>
          <w:p>
            <w:pPr>
              <w:snapToGrid w:val="0"/>
              <w:rPr>
                <w:rFonts w:hint="eastAsia" w:ascii="宋体" w:hAnsi="宋体"/>
                <w:sz w:val="24"/>
              </w:rPr>
            </w:pPr>
            <w:r>
              <w:rPr>
                <w:rFonts w:hint="eastAsia" w:ascii="宋体" w:hAnsi="宋体"/>
                <w:sz w:val="24"/>
              </w:rPr>
              <w:t>地下水</w:t>
            </w:r>
          </w:p>
        </w:tc>
        <w:tc>
          <w:tcPr>
            <w:tcW w:w="1308" w:type="dxa"/>
            <w:noWrap w:val="0"/>
            <w:vAlign w:val="center"/>
          </w:tcPr>
          <w:p>
            <w:pPr>
              <w:snapToGrid w:val="0"/>
              <w:rPr>
                <w:rFonts w:hint="eastAsia" w:ascii="宋体" w:hAnsi="宋体"/>
                <w:sz w:val="24"/>
              </w:rPr>
            </w:pPr>
            <w:r>
              <w:rPr>
                <w:rFonts w:hint="eastAsia" w:ascii="宋体" w:hAnsi="宋体"/>
                <w:sz w:val="24"/>
              </w:rPr>
              <w:t>未列入水功能区划</w:t>
            </w:r>
          </w:p>
        </w:tc>
        <w:tc>
          <w:tcPr>
            <w:tcW w:w="916" w:type="dxa"/>
            <w:tcBorders>
              <w:right w:val="single" w:color="auto" w:sz="4" w:space="0"/>
            </w:tcBorders>
            <w:noWrap w:val="0"/>
            <w:vAlign w:val="center"/>
          </w:tcPr>
          <w:p>
            <w:pPr>
              <w:snapToGrid w:val="0"/>
              <w:rPr>
                <w:rFonts w:hint="eastAsia" w:ascii="宋体" w:hAnsi="宋体"/>
                <w:sz w:val="24"/>
              </w:rPr>
            </w:pPr>
          </w:p>
        </w:tc>
        <w:tc>
          <w:tcPr>
            <w:tcW w:w="1178" w:type="dxa"/>
            <w:tcBorders>
              <w:left w:val="single" w:color="auto" w:sz="4" w:space="0"/>
            </w:tcBorders>
            <w:noWrap w:val="0"/>
            <w:vAlign w:val="center"/>
          </w:tcPr>
          <w:p>
            <w:pPr>
              <w:snapToGrid w:val="0"/>
              <w:rPr>
                <w:rFonts w:hint="eastAsia" w:ascii="宋体" w:hAnsi="宋体"/>
                <w:sz w:val="24"/>
              </w:rPr>
            </w:pPr>
          </w:p>
        </w:tc>
        <w:tc>
          <w:tcPr>
            <w:tcW w:w="786" w:type="dxa"/>
            <w:noWrap w:val="0"/>
            <w:vAlign w:val="center"/>
          </w:tcPr>
          <w:p>
            <w:pPr>
              <w:snapToGrid w:val="0"/>
              <w:jc w:val="center"/>
              <w:rPr>
                <w:rFonts w:hint="eastAsia" w:ascii="宋体" w:hAnsi="宋体"/>
                <w:sz w:val="24"/>
              </w:rPr>
            </w:pPr>
          </w:p>
        </w:tc>
        <w:tc>
          <w:tcPr>
            <w:tcW w:w="820" w:type="dxa"/>
            <w:noWrap w:val="0"/>
            <w:vAlign w:val="center"/>
          </w:tcPr>
          <w:p>
            <w:pPr>
              <w:snapToGrid w:val="0"/>
              <w:jc w:val="center"/>
              <w:rPr>
                <w:rFonts w:hint="eastAsia" w:ascii="宋体" w:hAnsi="宋体"/>
                <w:sz w:val="24"/>
              </w:rPr>
            </w:pPr>
          </w:p>
        </w:tc>
        <w:tc>
          <w:tcPr>
            <w:tcW w:w="542" w:type="dxa"/>
            <w:noWrap w:val="0"/>
            <w:vAlign w:val="center"/>
          </w:tcPr>
          <w:p>
            <w:pPr>
              <w:snapToGrid w:val="0"/>
              <w:jc w:val="center"/>
              <w:rPr>
                <w:rFonts w:ascii="宋体" w:hAnsi="宋体"/>
                <w:sz w:val="24"/>
              </w:rPr>
            </w:pPr>
            <w:r>
              <w:rPr>
                <w:rFonts w:hint="eastAsia" w:ascii="宋体" w:hAnsi="宋体"/>
                <w:sz w:val="24"/>
              </w:rPr>
              <w:t>Ⅲ</w:t>
            </w:r>
          </w:p>
        </w:tc>
        <w:tc>
          <w:tcPr>
            <w:tcW w:w="392" w:type="dxa"/>
            <w:noWrap w:val="0"/>
            <w:vAlign w:val="center"/>
          </w:tcPr>
          <w:p>
            <w:pPr>
              <w:snapToGrid w:val="0"/>
              <w:rPr>
                <w:rFonts w:ascii="宋体" w:hAnsi="宋体"/>
                <w:sz w:val="24"/>
              </w:rPr>
            </w:pPr>
            <w:r>
              <w:rPr>
                <w:rFonts w:hint="eastAsia" w:ascii="宋体" w:hAnsi="宋体"/>
                <w:sz w:val="24"/>
              </w:rPr>
              <w:t>Ⅱ－Ⅲ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7" w:type="dxa"/>
            <w:noWrap w:val="0"/>
            <w:vAlign w:val="center"/>
          </w:tcPr>
          <w:p>
            <w:pPr>
              <w:snapToGrid w:val="0"/>
              <w:jc w:val="center"/>
              <w:rPr>
                <w:rFonts w:hint="eastAsia" w:ascii="宋体" w:hAnsi="宋体" w:eastAsia="宋体"/>
                <w:sz w:val="24"/>
                <w:lang w:eastAsia="zh-CN"/>
              </w:rPr>
            </w:pPr>
            <w:r>
              <w:rPr>
                <w:rFonts w:hint="eastAsia" w:ascii="宋体" w:hAnsi="宋体"/>
                <w:sz w:val="24"/>
                <w:lang w:val="en-US" w:eastAsia="zh-CN"/>
              </w:rPr>
              <w:t>8</w:t>
            </w:r>
          </w:p>
        </w:tc>
        <w:tc>
          <w:tcPr>
            <w:tcW w:w="898" w:type="dxa"/>
            <w:noWrap w:val="0"/>
            <w:vAlign w:val="center"/>
          </w:tcPr>
          <w:p>
            <w:pPr>
              <w:snapToGrid w:val="0"/>
              <w:rPr>
                <w:rFonts w:ascii="宋体" w:hAnsi="宋体"/>
                <w:sz w:val="24"/>
              </w:rPr>
            </w:pPr>
            <w:r>
              <w:rPr>
                <w:rFonts w:hint="eastAsia" w:ascii="宋体" w:hAnsi="宋体"/>
                <w:sz w:val="24"/>
              </w:rPr>
              <w:t>磨溪水厂</w:t>
            </w:r>
          </w:p>
        </w:tc>
        <w:tc>
          <w:tcPr>
            <w:tcW w:w="655" w:type="dxa"/>
            <w:noWrap w:val="0"/>
            <w:vAlign w:val="center"/>
          </w:tcPr>
          <w:p>
            <w:pPr>
              <w:snapToGrid w:val="0"/>
              <w:rPr>
                <w:rFonts w:ascii="宋体" w:hAnsi="宋体"/>
                <w:sz w:val="24"/>
              </w:rPr>
            </w:pPr>
            <w:r>
              <w:rPr>
                <w:rFonts w:hint="eastAsia" w:ascii="宋体" w:hAnsi="宋体"/>
                <w:sz w:val="24"/>
              </w:rPr>
              <w:t>博阳河港口支流</w:t>
            </w:r>
          </w:p>
        </w:tc>
        <w:tc>
          <w:tcPr>
            <w:tcW w:w="653" w:type="dxa"/>
            <w:noWrap w:val="0"/>
            <w:vAlign w:val="center"/>
          </w:tcPr>
          <w:p>
            <w:pPr>
              <w:snapToGrid w:val="0"/>
              <w:rPr>
                <w:rFonts w:hint="eastAsia" w:ascii="宋体" w:hAnsi="宋体"/>
                <w:sz w:val="24"/>
              </w:rPr>
            </w:pPr>
            <w:r>
              <w:rPr>
                <w:rFonts w:hint="eastAsia" w:ascii="宋体" w:hAnsi="宋体"/>
                <w:sz w:val="24"/>
              </w:rPr>
              <w:t>新田水库</w:t>
            </w:r>
          </w:p>
        </w:tc>
        <w:tc>
          <w:tcPr>
            <w:tcW w:w="1308" w:type="dxa"/>
            <w:noWrap w:val="0"/>
            <w:vAlign w:val="center"/>
          </w:tcPr>
          <w:p>
            <w:pPr>
              <w:snapToGrid w:val="0"/>
              <w:rPr>
                <w:rFonts w:hint="eastAsia" w:ascii="宋体" w:hAnsi="宋体"/>
                <w:sz w:val="24"/>
              </w:rPr>
            </w:pPr>
            <w:r>
              <w:rPr>
                <w:rFonts w:hint="eastAsia" w:ascii="宋体" w:hAnsi="宋体"/>
                <w:sz w:val="24"/>
              </w:rPr>
              <w:t>未列入水功能区划</w:t>
            </w:r>
          </w:p>
        </w:tc>
        <w:tc>
          <w:tcPr>
            <w:tcW w:w="916" w:type="dxa"/>
            <w:tcBorders>
              <w:right w:val="single" w:color="auto" w:sz="4" w:space="0"/>
            </w:tcBorders>
            <w:noWrap w:val="0"/>
            <w:vAlign w:val="center"/>
          </w:tcPr>
          <w:p>
            <w:pPr>
              <w:snapToGrid w:val="0"/>
              <w:rPr>
                <w:rFonts w:hint="eastAsia" w:ascii="宋体" w:hAnsi="宋体"/>
                <w:sz w:val="24"/>
              </w:rPr>
            </w:pPr>
          </w:p>
        </w:tc>
        <w:tc>
          <w:tcPr>
            <w:tcW w:w="1178" w:type="dxa"/>
            <w:tcBorders>
              <w:left w:val="single" w:color="auto" w:sz="4" w:space="0"/>
            </w:tcBorders>
            <w:noWrap w:val="0"/>
            <w:vAlign w:val="center"/>
          </w:tcPr>
          <w:p>
            <w:pPr>
              <w:snapToGrid w:val="0"/>
              <w:rPr>
                <w:rFonts w:hint="eastAsia" w:ascii="宋体" w:hAnsi="宋体"/>
                <w:sz w:val="24"/>
              </w:rPr>
            </w:pPr>
          </w:p>
        </w:tc>
        <w:tc>
          <w:tcPr>
            <w:tcW w:w="786" w:type="dxa"/>
            <w:noWrap w:val="0"/>
            <w:vAlign w:val="center"/>
          </w:tcPr>
          <w:p>
            <w:pPr>
              <w:snapToGrid w:val="0"/>
              <w:jc w:val="center"/>
              <w:rPr>
                <w:rFonts w:hint="eastAsia" w:ascii="宋体" w:hAnsi="宋体"/>
                <w:sz w:val="24"/>
              </w:rPr>
            </w:pPr>
          </w:p>
        </w:tc>
        <w:tc>
          <w:tcPr>
            <w:tcW w:w="820" w:type="dxa"/>
            <w:noWrap w:val="0"/>
            <w:vAlign w:val="center"/>
          </w:tcPr>
          <w:p>
            <w:pPr>
              <w:snapToGrid w:val="0"/>
              <w:jc w:val="center"/>
              <w:rPr>
                <w:rFonts w:hint="eastAsia" w:ascii="宋体" w:hAnsi="宋体"/>
                <w:sz w:val="24"/>
              </w:rPr>
            </w:pPr>
          </w:p>
        </w:tc>
        <w:tc>
          <w:tcPr>
            <w:tcW w:w="542" w:type="dxa"/>
            <w:noWrap w:val="0"/>
            <w:vAlign w:val="center"/>
          </w:tcPr>
          <w:p>
            <w:pPr>
              <w:snapToGrid w:val="0"/>
              <w:jc w:val="center"/>
              <w:rPr>
                <w:rFonts w:ascii="宋体" w:hAnsi="宋体"/>
                <w:sz w:val="24"/>
              </w:rPr>
            </w:pPr>
            <w:r>
              <w:rPr>
                <w:rFonts w:hint="eastAsia" w:ascii="宋体" w:hAnsi="宋体"/>
                <w:sz w:val="24"/>
              </w:rPr>
              <w:t>Ⅲ</w:t>
            </w:r>
          </w:p>
        </w:tc>
        <w:tc>
          <w:tcPr>
            <w:tcW w:w="392" w:type="dxa"/>
            <w:noWrap w:val="0"/>
            <w:vAlign w:val="center"/>
          </w:tcPr>
          <w:p>
            <w:pPr>
              <w:snapToGrid w:val="0"/>
              <w:rPr>
                <w:rFonts w:ascii="宋体" w:hAnsi="宋体"/>
                <w:sz w:val="24"/>
              </w:rPr>
            </w:pPr>
            <w:r>
              <w:rPr>
                <w:rFonts w:hint="eastAsia" w:ascii="宋体" w:hAnsi="宋体"/>
                <w:sz w:val="24"/>
              </w:rPr>
              <w:t>Ⅱ－Ⅲ</w:t>
            </w:r>
          </w:p>
        </w:tc>
      </w:tr>
    </w:tbl>
    <w:p>
      <w:pPr>
        <w:rPr>
          <w:rFonts w:hint="eastAsia"/>
        </w:rPr>
      </w:pPr>
    </w:p>
    <w:p>
      <w:pPr>
        <w:pStyle w:val="5"/>
        <w:adjustRightInd/>
        <w:snapToGrid/>
        <w:spacing w:line="360" w:lineRule="auto"/>
        <w:ind w:firstLine="562" w:firstLineChars="200"/>
        <w:rPr>
          <w:rFonts w:hint="eastAsia" w:ascii="宋体" w:hAnsi="宋体" w:eastAsia="宋体" w:cs="宋体"/>
          <w:b/>
          <w:bCs/>
          <w:sz w:val="28"/>
          <w:szCs w:val="28"/>
        </w:rPr>
      </w:pPr>
      <w:bookmarkStart w:id="92" w:name="_Toc15568"/>
      <w:r>
        <w:rPr>
          <w:rFonts w:hint="eastAsia" w:ascii="宋体" w:hAnsi="宋体" w:eastAsia="宋体" w:cs="宋体"/>
          <w:b/>
          <w:bCs/>
          <w:sz w:val="28"/>
          <w:szCs w:val="28"/>
        </w:rPr>
        <w:t>水源管理</w:t>
      </w:r>
      <w:bookmarkEnd w:id="92"/>
    </w:p>
    <w:p>
      <w:pPr>
        <w:pStyle w:val="6"/>
        <w:rPr>
          <w:rFonts w:hint="eastAsia"/>
          <w:bCs w:val="0"/>
          <w:sz w:val="24"/>
        </w:rPr>
      </w:pPr>
      <w:r>
        <w:rPr>
          <w:rFonts w:hint="eastAsia"/>
          <w:bCs w:val="0"/>
          <w:sz w:val="24"/>
        </w:rPr>
        <w:t>水源地保护政策法规</w:t>
      </w:r>
    </w:p>
    <w:p>
      <w:pPr>
        <w:ind w:firstLine="480" w:firstLineChars="200"/>
        <w:rPr>
          <w:rFonts w:ascii="宋体" w:hAnsi="宋体"/>
          <w:bCs/>
          <w:sz w:val="24"/>
        </w:rPr>
      </w:pPr>
      <w:r>
        <w:rPr>
          <w:rFonts w:ascii="宋体" w:hAnsi="宋体"/>
          <w:bCs/>
          <w:sz w:val="24"/>
        </w:rPr>
        <w:t>根据《中华人民共和国水法》、《中华人民共和国水污染防治法》、《中华人民共和国水污染防治法实施细则》</w:t>
      </w:r>
      <w:r>
        <w:rPr>
          <w:rFonts w:hint="eastAsia" w:ascii="宋体" w:hAnsi="宋体"/>
          <w:bCs/>
          <w:sz w:val="24"/>
        </w:rPr>
        <w:t>、</w:t>
      </w:r>
      <w:r>
        <w:rPr>
          <w:rFonts w:ascii="宋体" w:hAnsi="宋体"/>
          <w:bCs/>
          <w:sz w:val="24"/>
        </w:rPr>
        <w:t>《饮用水水源保护区污染防治管理规定》</w:t>
      </w:r>
      <w:r>
        <w:rPr>
          <w:rFonts w:hint="eastAsia" w:ascii="宋体" w:hAnsi="宋体"/>
          <w:bCs/>
          <w:sz w:val="24"/>
        </w:rPr>
        <w:t>和</w:t>
      </w:r>
      <w:r>
        <w:rPr>
          <w:rFonts w:ascii="宋体" w:hAnsi="宋体"/>
          <w:bCs/>
          <w:sz w:val="24"/>
        </w:rPr>
        <w:t>《江西省生活饮用水水源污染防治办法》，在饮用水水源保护区内，禁止设置排污口，禁止或者限制使用含磷洗涤剂、化肥、农药以及限制种植养殖；在饮用水水源地一级保护区内，禁止新建、改建、扩建与供水设施和保护水源无关的建设项目，已建成的与供水设施和保护水源无关的建设项目，由县级以上人民政府责令拆除或者关闭，禁止从事网箱养殖、旅游、游泳、垂钓或者其他可能污染饮用水水体的活动；在饮用水水源地二级保护区内，禁止新建、改建、扩建排放污染物的建设项目，已建成的排放污染物的建设项目，由县级以上人民政府责令拆除或者关闭。</w:t>
      </w:r>
    </w:p>
    <w:p>
      <w:pPr>
        <w:ind w:firstLine="480" w:firstLineChars="200"/>
        <w:rPr>
          <w:rFonts w:hint="eastAsia" w:ascii="宋体" w:hAnsi="宋体"/>
          <w:bCs/>
          <w:sz w:val="24"/>
        </w:rPr>
      </w:pPr>
      <w:r>
        <w:rPr>
          <w:rFonts w:ascii="宋体" w:hAnsi="宋体"/>
          <w:bCs/>
          <w:sz w:val="24"/>
        </w:rPr>
        <w:t>《国家环境保护</w:t>
      </w:r>
      <w:r>
        <w:rPr>
          <w:rFonts w:hint="eastAsia" w:ascii="宋体" w:hAnsi="宋体"/>
          <w:bCs/>
          <w:sz w:val="24"/>
          <w:lang w:eastAsia="zh-CN"/>
        </w:rPr>
        <w:t>“</w:t>
      </w:r>
      <w:r>
        <w:rPr>
          <w:rFonts w:ascii="宋体" w:hAnsi="宋体"/>
          <w:bCs/>
          <w:sz w:val="24"/>
        </w:rPr>
        <w:t>十</w:t>
      </w:r>
      <w:r>
        <w:rPr>
          <w:rFonts w:hint="eastAsia" w:ascii="宋体" w:hAnsi="宋体"/>
          <w:bCs/>
          <w:sz w:val="24"/>
        </w:rPr>
        <w:t>二</w:t>
      </w:r>
      <w:r>
        <w:rPr>
          <w:rFonts w:ascii="宋体" w:hAnsi="宋体"/>
          <w:bCs/>
          <w:sz w:val="24"/>
        </w:rPr>
        <w:t>五</w:t>
      </w:r>
      <w:r>
        <w:rPr>
          <w:rFonts w:hint="eastAsia" w:ascii="宋体" w:hAnsi="宋体"/>
          <w:bCs/>
          <w:sz w:val="24"/>
          <w:lang w:eastAsia="zh-CN"/>
        </w:rPr>
        <w:t>”</w:t>
      </w:r>
      <w:r>
        <w:rPr>
          <w:rFonts w:ascii="宋体" w:hAnsi="宋体"/>
          <w:bCs/>
          <w:sz w:val="24"/>
        </w:rPr>
        <w:t>规划》中要求取缔饮用水水源一级保护区内的直接排污口；完成地表水饮用水水源保护区划定和调整工作，确定保护区等级和</w:t>
      </w:r>
      <w:r>
        <w:rPr>
          <w:rFonts w:hint="eastAsia" w:ascii="宋体" w:hAnsi="宋体"/>
          <w:bCs/>
          <w:sz w:val="24"/>
          <w:lang w:eastAsia="zh-CN"/>
        </w:rPr>
        <w:t>界线</w:t>
      </w:r>
      <w:r>
        <w:rPr>
          <w:rFonts w:ascii="宋体" w:hAnsi="宋体"/>
          <w:bCs/>
          <w:sz w:val="24"/>
        </w:rPr>
        <w:t>，设立警示标志，关闭二级保护区内的直接排污口；开展饮用水水源地环境状况普查，编制饮水安全保障规划和管理办法及饮用水水源地环境保护规划；加强饮用水水源保护区水土保持、水源涵养，控制面源污染；严格限制在饮用水水源保护区上游建设水污染严重的化工、造纸、印染等类企业；开展地下水污染状况调查，编制地下饮用水水源地保护规划，防治地下水污染；重视对水体中持久性有机污染物的研究和防范；健全饮用水水源安全预警制度，制订突发污染事故的应急预案；完善饮用水水源地监测和管理体系，每年对饮用水水源地至少进行一次水质全分析监测，并及时公布水环境状况。</w:t>
      </w:r>
    </w:p>
    <w:p>
      <w:pPr>
        <w:pStyle w:val="6"/>
        <w:rPr>
          <w:rFonts w:hint="eastAsia"/>
          <w:bCs w:val="0"/>
          <w:sz w:val="24"/>
        </w:rPr>
      </w:pPr>
      <w:r>
        <w:rPr>
          <w:rFonts w:hint="eastAsia"/>
          <w:bCs w:val="0"/>
          <w:sz w:val="24"/>
        </w:rPr>
        <w:t>水源地一级保护区环保措施规划</w:t>
      </w:r>
    </w:p>
    <w:p>
      <w:pPr>
        <w:ind w:firstLine="480" w:firstLineChars="200"/>
        <w:rPr>
          <w:rFonts w:hint="eastAsia" w:ascii="宋体" w:hAnsi="宋体"/>
          <w:bCs/>
          <w:sz w:val="24"/>
        </w:rPr>
      </w:pPr>
      <w:r>
        <w:rPr>
          <w:rFonts w:hint="eastAsia" w:ascii="宋体" w:hAnsi="宋体"/>
          <w:bCs/>
          <w:sz w:val="24"/>
        </w:rPr>
        <w:t>（1）封闭式管理</w:t>
      </w:r>
    </w:p>
    <w:p>
      <w:pPr>
        <w:ind w:firstLine="480" w:firstLineChars="200"/>
        <w:rPr>
          <w:rFonts w:ascii="宋体" w:hAnsi="宋体"/>
          <w:bCs/>
          <w:sz w:val="24"/>
        </w:rPr>
      </w:pPr>
      <w:r>
        <w:rPr>
          <w:rFonts w:ascii="宋体" w:hAnsi="宋体"/>
          <w:bCs/>
          <w:sz w:val="24"/>
        </w:rPr>
        <w:t>原则上对一级水源保护区实施封闭式管理</w:t>
      </w:r>
      <w:r>
        <w:rPr>
          <w:rFonts w:hint="eastAsia" w:ascii="宋体" w:hAnsi="宋体"/>
          <w:bCs/>
          <w:sz w:val="24"/>
        </w:rPr>
        <w:t>。</w:t>
      </w:r>
      <w:r>
        <w:rPr>
          <w:rFonts w:ascii="宋体" w:hAnsi="宋体"/>
          <w:bCs/>
          <w:sz w:val="24"/>
        </w:rPr>
        <w:t>虽然</w:t>
      </w:r>
      <w:r>
        <w:rPr>
          <w:rFonts w:hint="eastAsia" w:ascii="宋体" w:hAnsi="宋体"/>
          <w:bCs/>
          <w:sz w:val="24"/>
          <w:lang w:eastAsia="zh-CN"/>
        </w:rPr>
        <w:t>德安县</w:t>
      </w:r>
      <w:r>
        <w:rPr>
          <w:rFonts w:ascii="宋体" w:hAnsi="宋体"/>
          <w:bCs/>
          <w:sz w:val="24"/>
        </w:rPr>
        <w:t>水源地所在区域用地现状以荒地和农业用地为主，但</w:t>
      </w:r>
      <w:r>
        <w:rPr>
          <w:rFonts w:hint="eastAsia" w:ascii="宋体" w:hAnsi="宋体"/>
          <w:bCs/>
          <w:sz w:val="24"/>
        </w:rPr>
        <w:t>部分</w:t>
      </w:r>
      <w:r>
        <w:rPr>
          <w:rFonts w:ascii="宋体" w:hAnsi="宋体"/>
          <w:bCs/>
          <w:sz w:val="24"/>
        </w:rPr>
        <w:t>水源地与国道或乡村公路毗邻，建设工程隔离工程不符合城镇发展规划，因此本次规划生物隔离工程（防护林）基础上规划设置界碑、界桩、宣传警示牌等基础设施，加大宣传力度，从意识上加强人们保护水源地的意识，以防止人类不合理活动对水源保护区水量水质造成影响。</w:t>
      </w:r>
    </w:p>
    <w:p>
      <w:pPr>
        <w:ind w:firstLine="480" w:firstLineChars="200"/>
        <w:rPr>
          <w:rFonts w:ascii="宋体" w:hAnsi="宋体"/>
          <w:bCs/>
          <w:sz w:val="24"/>
        </w:rPr>
      </w:pPr>
      <w:r>
        <w:rPr>
          <w:rFonts w:ascii="宋体" w:hAnsi="宋体"/>
          <w:bCs/>
          <w:sz w:val="24"/>
        </w:rPr>
        <w:t>对划定的饮用水源保护区范围的地理界线，用界碑、界桩和告示牌标定保护区范围，通过勘测定位使社区干部群众进一步明确了解保护区实际管辖范围，有利用于保护区建设和管理。</w:t>
      </w:r>
    </w:p>
    <w:p>
      <w:pPr>
        <w:ind w:firstLine="480" w:firstLineChars="200"/>
        <w:rPr>
          <w:rFonts w:hint="eastAsia" w:ascii="宋体" w:hAnsi="宋体"/>
          <w:bCs/>
          <w:sz w:val="24"/>
        </w:rPr>
      </w:pPr>
      <w:r>
        <w:rPr>
          <w:rFonts w:ascii="宋体" w:hAnsi="宋体"/>
          <w:bCs/>
          <w:sz w:val="24"/>
        </w:rPr>
        <w:t>此外，由政府和交通部门在进入水源地区域路口设置警示标志，禁止运载石油、有毒化工原料、垃圾等车辆通行，以保障水源地安全。</w:t>
      </w:r>
    </w:p>
    <w:p>
      <w:pPr>
        <w:ind w:firstLine="480" w:firstLineChars="200"/>
        <w:rPr>
          <w:rFonts w:hint="eastAsia" w:ascii="宋体" w:hAnsi="宋体"/>
          <w:bCs/>
          <w:sz w:val="24"/>
        </w:rPr>
      </w:pPr>
      <w:r>
        <w:rPr>
          <w:rFonts w:hint="eastAsia" w:ascii="宋体" w:hAnsi="宋体"/>
          <w:bCs/>
          <w:sz w:val="24"/>
        </w:rPr>
        <w:t>（2）拆除与水源无关的建筑物</w:t>
      </w:r>
    </w:p>
    <w:p>
      <w:pPr>
        <w:ind w:firstLine="480" w:firstLineChars="200"/>
        <w:rPr>
          <w:rFonts w:ascii="宋体" w:hAnsi="宋体"/>
          <w:bCs/>
          <w:sz w:val="24"/>
        </w:rPr>
      </w:pPr>
      <w:r>
        <w:rPr>
          <w:rFonts w:ascii="宋体" w:hAnsi="宋体"/>
          <w:bCs/>
          <w:sz w:val="24"/>
        </w:rPr>
        <w:t>一级水源保护区原则上拆除所有与水源无关的建筑物，用地进行植被修复，水土保持，改造为水源涵养林，改造保护区内林、灌、草生态系统。</w:t>
      </w:r>
    </w:p>
    <w:p>
      <w:pPr>
        <w:ind w:firstLine="480" w:firstLineChars="200"/>
        <w:rPr>
          <w:rFonts w:ascii="宋体" w:hAnsi="宋体"/>
          <w:bCs/>
          <w:sz w:val="24"/>
        </w:rPr>
      </w:pPr>
      <w:r>
        <w:rPr>
          <w:rFonts w:ascii="宋体" w:hAnsi="宋体"/>
          <w:bCs/>
          <w:sz w:val="24"/>
        </w:rPr>
        <w:t>通过对现状用地功能的调整和改造，规划一级水源保护区内共包括四种用地类型：水域用地、水源涵养林用地或水土保持用地、天然湿地、人工湿地。</w:t>
      </w:r>
    </w:p>
    <w:p>
      <w:pPr>
        <w:ind w:firstLine="480" w:firstLineChars="200"/>
        <w:rPr>
          <w:rFonts w:ascii="宋体" w:hAnsi="宋体"/>
          <w:bCs/>
          <w:sz w:val="24"/>
        </w:rPr>
      </w:pPr>
      <w:r>
        <w:rPr>
          <w:rFonts w:ascii="宋体" w:hAnsi="宋体"/>
          <w:bCs/>
          <w:sz w:val="24"/>
        </w:rPr>
        <w:t>在经过论证分析的基础上，地下水源地根据水源开采情况及土壤分布情况可有条件地保留部分耕地。</w:t>
      </w:r>
    </w:p>
    <w:p>
      <w:pPr>
        <w:ind w:firstLine="480" w:firstLineChars="200"/>
        <w:rPr>
          <w:rFonts w:hint="eastAsia" w:ascii="宋体" w:hAnsi="宋体"/>
          <w:bCs/>
          <w:sz w:val="24"/>
        </w:rPr>
      </w:pPr>
      <w:r>
        <w:rPr>
          <w:rFonts w:ascii="宋体" w:hAnsi="宋体"/>
          <w:bCs/>
          <w:sz w:val="24"/>
        </w:rPr>
        <w:t>违章建筑整治工程近期以拆除居民住宅为主，主要目的是控制生活污水污染，需由</w:t>
      </w:r>
      <w:r>
        <w:rPr>
          <w:rFonts w:hint="eastAsia" w:ascii="宋体" w:hAnsi="宋体"/>
          <w:bCs/>
          <w:sz w:val="24"/>
          <w:lang w:eastAsia="zh-CN"/>
        </w:rPr>
        <w:t>德安县</w:t>
      </w:r>
      <w:r>
        <w:rPr>
          <w:rFonts w:ascii="宋体" w:hAnsi="宋体"/>
          <w:bCs/>
          <w:sz w:val="24"/>
        </w:rPr>
        <w:t>政府依法给予经济补偿；远期以污染预防为主的原则予以实施。</w:t>
      </w:r>
    </w:p>
    <w:p>
      <w:pPr>
        <w:ind w:firstLine="480" w:firstLineChars="200"/>
        <w:rPr>
          <w:rFonts w:hint="eastAsia" w:ascii="宋体" w:hAnsi="宋体"/>
          <w:bCs/>
          <w:sz w:val="24"/>
        </w:rPr>
      </w:pPr>
      <w:r>
        <w:rPr>
          <w:rFonts w:hint="eastAsia" w:ascii="宋体" w:hAnsi="宋体"/>
          <w:bCs/>
          <w:sz w:val="24"/>
        </w:rPr>
        <w:t>（3）农业面源综合治理</w:t>
      </w:r>
    </w:p>
    <w:p>
      <w:pPr>
        <w:ind w:firstLine="480" w:firstLineChars="200"/>
        <w:rPr>
          <w:rFonts w:hint="eastAsia" w:ascii="宋体" w:hAnsi="宋体"/>
          <w:bCs/>
          <w:sz w:val="24"/>
        </w:rPr>
      </w:pPr>
      <w:r>
        <w:rPr>
          <w:rFonts w:ascii="宋体" w:hAnsi="宋体"/>
          <w:bCs/>
          <w:sz w:val="24"/>
        </w:rPr>
        <w:t>一级保护区农业面源整治按照生态学和生态经济学原理及系统工程方法，实行生物措施、农艺措施与工程措施相结合，不断优化农业产业结构，对改变种植结构的农户进行相应补助，从而有效减少农药、化肥的施用量，达到减少面源污染的目的，保障饮用水源水质。一级保护区内农业面源改变种植结构相应补助由政府根据当年实际情况与农户协商。</w:t>
      </w:r>
    </w:p>
    <w:p>
      <w:pPr>
        <w:ind w:firstLine="480" w:firstLineChars="200"/>
        <w:rPr>
          <w:rFonts w:hint="eastAsia" w:ascii="宋体" w:hAnsi="宋体"/>
          <w:bCs/>
          <w:sz w:val="24"/>
        </w:rPr>
      </w:pPr>
      <w:r>
        <w:rPr>
          <w:rFonts w:hint="eastAsia" w:ascii="宋体" w:hAnsi="宋体"/>
          <w:bCs/>
          <w:sz w:val="24"/>
        </w:rPr>
        <w:t>（4）潜在污染源治理</w:t>
      </w:r>
    </w:p>
    <w:p>
      <w:pPr>
        <w:ind w:firstLine="480" w:firstLineChars="200"/>
        <w:rPr>
          <w:rFonts w:ascii="宋体" w:hAnsi="宋体"/>
          <w:bCs/>
          <w:sz w:val="24"/>
        </w:rPr>
      </w:pPr>
      <w:r>
        <w:rPr>
          <w:rFonts w:hint="eastAsia" w:ascii="宋体" w:hAnsi="宋体"/>
          <w:bCs/>
          <w:sz w:val="24"/>
        </w:rPr>
        <w:t>针对距离公路较近的水源地，</w:t>
      </w:r>
      <w:r>
        <w:rPr>
          <w:rFonts w:ascii="宋体" w:hAnsi="宋体"/>
          <w:bCs/>
          <w:sz w:val="24"/>
        </w:rPr>
        <w:t>危险品运输对水源地具有较大的风险，因此，在规划近期，应对一级保护区潜在污染源加强环境监管力度。</w:t>
      </w:r>
    </w:p>
    <w:p>
      <w:pPr>
        <w:ind w:firstLine="480" w:firstLineChars="200"/>
        <w:rPr>
          <w:rFonts w:hint="eastAsia" w:ascii="宋体" w:hAnsi="宋体"/>
          <w:bCs/>
          <w:sz w:val="24"/>
        </w:rPr>
      </w:pPr>
      <w:r>
        <w:rPr>
          <w:rFonts w:ascii="宋体" w:hAnsi="宋体"/>
          <w:bCs/>
          <w:sz w:val="24"/>
        </w:rPr>
        <w:t>由于历史原因和缺乏管理等因素，县域存在废弃井现象，且未采取任何措施。由于地下水的连通性，废弃水井一旦遭受污染，对地下水源的污染将更为直接。因此，加强废弃井的管理就显得尤为重要。近期，按要求清查封闭水网覆盖范围内所有废弃水井，加强废弃水井的污染防范，从源头切断污染，降低废弃水井对地下水的潜在威胁，以确保地下饮用水水源地的安全性。</w:t>
      </w:r>
    </w:p>
    <w:p>
      <w:pPr>
        <w:pStyle w:val="6"/>
        <w:rPr>
          <w:rFonts w:hint="eastAsia"/>
          <w:bCs w:val="0"/>
          <w:sz w:val="24"/>
        </w:rPr>
      </w:pPr>
      <w:r>
        <w:rPr>
          <w:rFonts w:hint="eastAsia"/>
          <w:bCs w:val="0"/>
          <w:sz w:val="24"/>
        </w:rPr>
        <w:t>水源地二级保护区环保措施规划</w:t>
      </w:r>
    </w:p>
    <w:p>
      <w:pPr>
        <w:ind w:firstLine="480" w:firstLineChars="200"/>
        <w:rPr>
          <w:rFonts w:ascii="宋体" w:hAnsi="宋体"/>
          <w:bCs/>
          <w:sz w:val="24"/>
        </w:rPr>
      </w:pPr>
      <w:r>
        <w:rPr>
          <w:rFonts w:hint="eastAsia" w:ascii="宋体" w:hAnsi="宋体"/>
          <w:bCs/>
          <w:sz w:val="24"/>
        </w:rPr>
        <w:t>针对二级保护区环保措施主要靠面源综合治理，</w:t>
      </w:r>
      <w:r>
        <w:rPr>
          <w:rFonts w:ascii="宋体" w:hAnsi="宋体"/>
          <w:bCs/>
          <w:sz w:val="24"/>
        </w:rPr>
        <w:t>目的为了有效减少和防止饮用水源保护区内的面源污染，保障饮用水源水质。面源污染防治工程建设要坚持系统、循环、平衡的生态学原则，与生态修复工程相结合。</w:t>
      </w:r>
    </w:p>
    <w:p>
      <w:pPr>
        <w:ind w:firstLine="480" w:firstLineChars="200"/>
        <w:rPr>
          <w:rFonts w:ascii="宋体" w:hAnsi="宋体"/>
          <w:bCs/>
          <w:sz w:val="24"/>
        </w:rPr>
      </w:pPr>
      <w:r>
        <w:rPr>
          <w:rFonts w:ascii="宋体" w:hAnsi="宋体"/>
          <w:bCs/>
          <w:sz w:val="24"/>
        </w:rPr>
        <w:t>针对生活面源，以输移路径控制和末端控制为主，及时减少面源污染负荷，主要工程包括农村污水分散处理、畜禽养殖综合整治工程；针对农业面源，着重从源头控制污染负荷，深入推广生态农业、生态施肥、保护性耕作等措施，进一步保障水质。</w:t>
      </w:r>
    </w:p>
    <w:p>
      <w:pPr>
        <w:ind w:firstLine="480" w:firstLineChars="200"/>
        <w:rPr>
          <w:rFonts w:ascii="宋体" w:hAnsi="宋体"/>
          <w:bCs/>
          <w:sz w:val="24"/>
        </w:rPr>
      </w:pPr>
      <w:r>
        <w:rPr>
          <w:rFonts w:ascii="宋体" w:hAnsi="宋体"/>
          <w:bCs/>
          <w:sz w:val="24"/>
        </w:rPr>
        <w:t xml:space="preserve">面源控制工程主要有以下几方面： </w:t>
      </w:r>
    </w:p>
    <w:p>
      <w:pPr>
        <w:ind w:firstLine="480" w:firstLineChars="200"/>
        <w:rPr>
          <w:rFonts w:ascii="宋体" w:hAnsi="宋体"/>
          <w:bCs/>
          <w:sz w:val="24"/>
        </w:rPr>
      </w:pPr>
      <w:r>
        <w:rPr>
          <w:rFonts w:ascii="宋体" w:hAnsi="宋体"/>
          <w:bCs/>
          <w:sz w:val="24"/>
        </w:rPr>
        <w:t>农村垃圾和污水处理工程</w:t>
      </w:r>
      <w:r>
        <w:rPr>
          <w:rFonts w:hint="eastAsia" w:ascii="宋体" w:hAnsi="宋体"/>
          <w:bCs/>
          <w:sz w:val="24"/>
        </w:rPr>
        <w:t xml:space="preserve">  </w:t>
      </w:r>
      <w:r>
        <w:rPr>
          <w:rFonts w:ascii="宋体" w:hAnsi="宋体"/>
          <w:bCs/>
          <w:sz w:val="24"/>
        </w:rPr>
        <w:t>结合新农村建设，对农村生活垃圾和污水，采取集中堆放、收集和处理，建设小型污水净化处理设施和农村生活垃圾集中处理场。</w:t>
      </w:r>
    </w:p>
    <w:p>
      <w:pPr>
        <w:ind w:firstLine="480" w:firstLineChars="200"/>
        <w:rPr>
          <w:rFonts w:ascii="宋体" w:hAnsi="宋体"/>
          <w:bCs/>
          <w:sz w:val="24"/>
        </w:rPr>
      </w:pPr>
      <w:r>
        <w:rPr>
          <w:rFonts w:ascii="宋体" w:hAnsi="宋体"/>
          <w:bCs/>
          <w:sz w:val="24"/>
        </w:rPr>
        <w:t>生态农业工程</w:t>
      </w:r>
      <w:r>
        <w:rPr>
          <w:rFonts w:hint="eastAsia" w:ascii="宋体" w:hAnsi="宋体"/>
          <w:bCs/>
          <w:sz w:val="24"/>
        </w:rPr>
        <w:t xml:space="preserve">  </w:t>
      </w:r>
      <w:r>
        <w:rPr>
          <w:rFonts w:ascii="宋体" w:hAnsi="宋体"/>
          <w:bCs/>
          <w:sz w:val="24"/>
        </w:rPr>
        <w:t>实施以控制农药、化肥等化学品使用量为主要内容的生态工程建设，减少因施用农用化学品造成的环境污染，实现农业清洁生产。</w:t>
      </w:r>
    </w:p>
    <w:p>
      <w:pPr>
        <w:ind w:firstLine="480" w:firstLineChars="200"/>
        <w:rPr>
          <w:rFonts w:ascii="宋体" w:hAnsi="宋体"/>
          <w:bCs/>
          <w:sz w:val="24"/>
        </w:rPr>
      </w:pPr>
      <w:r>
        <w:rPr>
          <w:rFonts w:ascii="宋体" w:hAnsi="宋体"/>
          <w:bCs/>
          <w:sz w:val="24"/>
        </w:rPr>
        <w:t>农田径流控制工程</w:t>
      </w:r>
      <w:r>
        <w:rPr>
          <w:rFonts w:hint="eastAsia" w:ascii="宋体" w:hAnsi="宋体"/>
          <w:bCs/>
          <w:sz w:val="24"/>
        </w:rPr>
        <w:t xml:space="preserve">  </w:t>
      </w:r>
      <w:r>
        <w:rPr>
          <w:rFonts w:ascii="宋体" w:hAnsi="宋体"/>
          <w:bCs/>
          <w:sz w:val="24"/>
        </w:rPr>
        <w:t>农田径流是农田污染物的载体，大量地表污染物在降雨径流的侵蚀冲刷下，随农田径流进入保护区，对保护区水质产生影响。农田径流污染控制工程可通过坑、塘、池等工程措施，减少径流冲刷和土壤流失，并通过多种生物系统拦截净化污染物。</w:t>
      </w:r>
    </w:p>
    <w:p>
      <w:pPr>
        <w:ind w:firstLine="480" w:firstLineChars="200"/>
        <w:rPr>
          <w:rFonts w:ascii="宋体" w:hAnsi="宋体"/>
          <w:bCs/>
          <w:sz w:val="24"/>
        </w:rPr>
      </w:pPr>
      <w:r>
        <w:rPr>
          <w:rFonts w:hint="eastAsia" w:ascii="宋体" w:hAnsi="宋体"/>
          <w:bCs/>
          <w:sz w:val="24"/>
        </w:rPr>
        <w:t>（1）</w:t>
      </w:r>
      <w:r>
        <w:rPr>
          <w:rFonts w:ascii="宋体" w:hAnsi="宋体"/>
          <w:bCs/>
          <w:sz w:val="24"/>
        </w:rPr>
        <w:t>生活面源治理</w:t>
      </w:r>
    </w:p>
    <w:p>
      <w:pPr>
        <w:ind w:firstLine="480" w:firstLineChars="200"/>
        <w:rPr>
          <w:rFonts w:ascii="宋体" w:hAnsi="宋体"/>
          <w:bCs/>
          <w:sz w:val="24"/>
        </w:rPr>
      </w:pPr>
      <w:r>
        <w:rPr>
          <w:rFonts w:ascii="宋体" w:hAnsi="宋体"/>
          <w:bCs/>
          <w:sz w:val="24"/>
        </w:rPr>
        <w:t>由于水源地二级保护区半径2000m范围内居民集中，产生的生活污水均随意外排，对水源地有一定影响。规划期，结合社会主义新农村建设，对地处水源地周边区域的农村开展环境综合整治工作，加强农村生活污水、垃圾的集中收集处置，加强禽畜粪便无害化处置，建设小型污水净化处理设施和农村生活垃圾集中处理场，防止污染地表水及地下水，对水源地的影响是可以接受的。</w:t>
      </w:r>
    </w:p>
    <w:p>
      <w:pPr>
        <w:ind w:firstLine="480" w:firstLineChars="200"/>
        <w:rPr>
          <w:rFonts w:ascii="宋体" w:hAnsi="宋体"/>
          <w:bCs/>
          <w:sz w:val="24"/>
        </w:rPr>
      </w:pPr>
      <w:r>
        <w:rPr>
          <w:rFonts w:hint="eastAsia" w:ascii="宋体" w:hAnsi="宋体"/>
          <w:bCs/>
          <w:sz w:val="24"/>
        </w:rPr>
        <w:t>（2）</w:t>
      </w:r>
      <w:r>
        <w:rPr>
          <w:rFonts w:ascii="宋体" w:hAnsi="宋体"/>
          <w:bCs/>
          <w:sz w:val="24"/>
        </w:rPr>
        <w:t>农业面源治理</w:t>
      </w:r>
    </w:p>
    <w:p>
      <w:pPr>
        <w:ind w:firstLine="480" w:firstLineChars="200"/>
        <w:rPr>
          <w:rFonts w:ascii="宋体" w:hAnsi="宋体"/>
          <w:bCs/>
          <w:sz w:val="24"/>
        </w:rPr>
      </w:pPr>
      <w:r>
        <w:rPr>
          <w:rFonts w:ascii="宋体" w:hAnsi="宋体"/>
          <w:bCs/>
          <w:sz w:val="24"/>
        </w:rPr>
        <w:t>在近期，以有机肥利用为主，科学、比例合理利用农药、化肥，减少农药、化肥的施用量，及时减少面源污染负荷；在远期，遵循生态经济理念，深入推广生态农业，实现农业清洁生产。</w:t>
      </w:r>
    </w:p>
    <w:p>
      <w:pPr>
        <w:ind w:firstLine="480" w:firstLineChars="200"/>
        <w:rPr>
          <w:rFonts w:hint="eastAsia" w:ascii="宋体" w:hAnsi="宋体"/>
          <w:bCs/>
          <w:sz w:val="24"/>
        </w:rPr>
      </w:pPr>
      <w:r>
        <w:rPr>
          <w:rFonts w:hint="eastAsia" w:ascii="宋体" w:hAnsi="宋体"/>
          <w:bCs/>
          <w:sz w:val="24"/>
          <w:lang w:eastAsia="zh-CN"/>
        </w:rPr>
        <w:t>德安县</w:t>
      </w:r>
      <w:r>
        <w:rPr>
          <w:rFonts w:ascii="宋体" w:hAnsi="宋体"/>
          <w:bCs/>
          <w:sz w:val="24"/>
        </w:rPr>
        <w:t>水源地保护区内生态现状比较单一，植被盖度较大，植被类型主要是农田和人工林地</w:t>
      </w:r>
      <w:r>
        <w:rPr>
          <w:rFonts w:hint="eastAsia" w:ascii="宋体" w:hAnsi="宋体"/>
          <w:bCs/>
          <w:sz w:val="24"/>
        </w:rPr>
        <w:t>，</w:t>
      </w:r>
      <w:r>
        <w:rPr>
          <w:rFonts w:ascii="宋体" w:hAnsi="宋体"/>
          <w:bCs/>
          <w:sz w:val="24"/>
        </w:rPr>
        <w:t>待开发用地多为荒地和沙地</w:t>
      </w:r>
      <w:r>
        <w:rPr>
          <w:rFonts w:hint="eastAsia" w:ascii="宋体" w:hAnsi="宋体"/>
          <w:bCs/>
          <w:sz w:val="24"/>
        </w:rPr>
        <w:t>。</w:t>
      </w:r>
      <w:r>
        <w:rPr>
          <w:rFonts w:ascii="宋体" w:hAnsi="宋体"/>
          <w:bCs/>
          <w:sz w:val="24"/>
        </w:rPr>
        <w:t>在生态建设中，二级保护区范围内农田，应加大保护力度，禁止采用污水灌溉，外围灌溉污水必须达到《农田灌溉水质标准》</w:t>
      </w:r>
      <w:r>
        <w:rPr>
          <w:rFonts w:hint="eastAsia" w:ascii="宋体" w:hAnsi="宋体"/>
          <w:bCs/>
          <w:sz w:val="24"/>
        </w:rPr>
        <w:t>（</w:t>
      </w:r>
      <w:r>
        <w:rPr>
          <w:rFonts w:ascii="宋体" w:hAnsi="宋体"/>
          <w:bCs/>
          <w:sz w:val="24"/>
        </w:rPr>
        <w:t>GB5084-92</w:t>
      </w:r>
      <w:r>
        <w:rPr>
          <w:rFonts w:hint="eastAsia" w:ascii="宋体" w:hAnsi="宋体"/>
          <w:bCs/>
          <w:sz w:val="24"/>
        </w:rPr>
        <w:t>）</w:t>
      </w:r>
      <w:r>
        <w:rPr>
          <w:rFonts w:ascii="宋体" w:hAnsi="宋体"/>
          <w:bCs/>
          <w:sz w:val="24"/>
        </w:rPr>
        <w:t>二类作物的灌溉标准，在水源地保护区内实施以控制农药、化肥等化学品使用量为主要内容的农业生态工程建设，减少因施用农用化学品造成的环境污染，大力发展生态农业，实现农业清洁生产。同时增加土地植被覆盖度，增强土地的水土保持能力。</w:t>
      </w:r>
    </w:p>
    <w:p>
      <w:pPr>
        <w:pStyle w:val="6"/>
        <w:rPr>
          <w:rFonts w:hint="eastAsia"/>
        </w:rPr>
      </w:pPr>
      <w:bookmarkStart w:id="93" w:name="_Toc355091846"/>
      <w:bookmarkStart w:id="94" w:name="_Toc354493714"/>
      <w:r>
        <w:rPr>
          <w:rFonts w:hint="eastAsia"/>
        </w:rPr>
        <w:t>水源地监测计划</w:t>
      </w:r>
      <w:bookmarkEnd w:id="93"/>
      <w:bookmarkEnd w:id="94"/>
    </w:p>
    <w:p>
      <w:pPr>
        <w:ind w:firstLine="480" w:firstLineChars="200"/>
        <w:rPr>
          <w:rFonts w:hint="eastAsia" w:ascii="宋体" w:hAnsi="宋体"/>
          <w:sz w:val="24"/>
        </w:rPr>
      </w:pPr>
      <w:r>
        <w:rPr>
          <w:rFonts w:hint="eastAsia" w:ascii="宋体" w:hAnsi="宋体"/>
          <w:sz w:val="24"/>
        </w:rPr>
        <w:t>为实现实时监测、控制水源地水质、水量安全状况，提高风险预警预报能力，以及对突发性水源地污染事故、水量水质变化进行监控和预报，应加强水源地监测。</w:t>
      </w:r>
    </w:p>
    <w:p>
      <w:pPr>
        <w:ind w:firstLine="480" w:firstLineChars="200"/>
        <w:rPr>
          <w:rFonts w:hint="eastAsia" w:ascii="宋体" w:hAnsi="宋体"/>
          <w:sz w:val="24"/>
        </w:rPr>
      </w:pPr>
      <w:r>
        <w:rPr>
          <w:rFonts w:hint="eastAsia" w:ascii="宋体" w:hAnsi="宋体"/>
          <w:sz w:val="24"/>
        </w:rPr>
        <w:t>预警监测体系工程建设是为了保证保护区管理机构能够实时监测、控制水源地的水质、水量安全状况，提高预警预报能力，适应饮用水水源地保护的管理需求。</w:t>
      </w:r>
    </w:p>
    <w:p>
      <w:pPr>
        <w:ind w:firstLine="480" w:firstLineChars="200"/>
        <w:rPr>
          <w:rFonts w:hint="eastAsia" w:ascii="宋体" w:hAnsi="宋体"/>
          <w:sz w:val="24"/>
        </w:rPr>
      </w:pPr>
      <w:r>
        <w:rPr>
          <w:rFonts w:hint="eastAsia" w:ascii="宋体" w:hAnsi="宋体"/>
          <w:sz w:val="24"/>
        </w:rPr>
        <w:t>（1）水源地监测体系现状简介</w:t>
      </w:r>
    </w:p>
    <w:p>
      <w:pPr>
        <w:ind w:firstLine="480" w:firstLineChars="200"/>
        <w:rPr>
          <w:rFonts w:hint="eastAsia" w:ascii="宋体" w:hAnsi="宋体"/>
          <w:sz w:val="24"/>
        </w:rPr>
      </w:pPr>
      <w:r>
        <w:rPr>
          <w:rFonts w:hint="eastAsia" w:ascii="宋体" w:hAnsi="宋体"/>
          <w:sz w:val="24"/>
        </w:rPr>
        <w:t>现有水源地目前无监测机构，由疾病预防控制中心做水质常规项目监测，未建立饮用水水源环境预警监控信息管理系统，没有水质自动监测站。</w:t>
      </w:r>
    </w:p>
    <w:p>
      <w:pPr>
        <w:ind w:firstLine="480" w:firstLineChars="200"/>
        <w:rPr>
          <w:rFonts w:hint="eastAsia" w:ascii="宋体" w:hAnsi="宋体"/>
          <w:sz w:val="24"/>
        </w:rPr>
      </w:pPr>
      <w:r>
        <w:rPr>
          <w:rFonts w:hint="eastAsia" w:ascii="宋体" w:hAnsi="宋体"/>
          <w:sz w:val="24"/>
        </w:rPr>
        <w:t>（2）监测项目及监测频率规划</w:t>
      </w:r>
    </w:p>
    <w:p>
      <w:pPr>
        <w:ind w:firstLine="480" w:firstLineChars="200"/>
        <w:rPr>
          <w:rFonts w:hint="eastAsia" w:ascii="宋体" w:hAnsi="宋体" w:cs="宋体"/>
          <w:color w:val="181818"/>
          <w:kern w:val="0"/>
          <w:sz w:val="24"/>
        </w:rPr>
      </w:pPr>
      <w:r>
        <w:rPr>
          <w:rFonts w:hint="eastAsia" w:ascii="宋体" w:hAnsi="宋体"/>
          <w:sz w:val="24"/>
        </w:rPr>
        <w:t>依据</w:t>
      </w:r>
      <w:r>
        <w:rPr>
          <w:rFonts w:ascii="宋体" w:hAnsi="宋体" w:cs="宋体"/>
          <w:color w:val="181818"/>
          <w:kern w:val="0"/>
          <w:sz w:val="24"/>
        </w:rPr>
        <w:t>《城市集中式饮用水源地水质监测、评价与公布方案》</w:t>
      </w:r>
    </w:p>
    <w:p>
      <w:pPr>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\o\ac(○,1)</w:instrText>
      </w:r>
      <w:r>
        <w:rPr>
          <w:rFonts w:ascii="宋体" w:hAnsi="宋体"/>
          <w:sz w:val="24"/>
        </w:rPr>
        <w:fldChar w:fldCharType="end"/>
      </w:r>
      <w:r>
        <w:rPr>
          <w:rFonts w:ascii="宋体" w:hAnsi="宋体"/>
          <w:sz w:val="24"/>
        </w:rPr>
        <w:t>、采样点位的布设</w:t>
      </w:r>
    </w:p>
    <w:p>
      <w:pPr>
        <w:ind w:firstLine="480" w:firstLineChars="200"/>
        <w:rPr>
          <w:rFonts w:ascii="宋体" w:hAnsi="宋体"/>
          <w:sz w:val="24"/>
        </w:rPr>
      </w:pPr>
      <w:r>
        <w:rPr>
          <w:rFonts w:ascii="宋体" w:hAnsi="宋体"/>
          <w:sz w:val="24"/>
        </w:rPr>
        <w:t>（1）河流：在水厂取水口上游100米处设置监测断面；同一河流有多个取水口，且取水口之间无污染源排放口，可在最上游100米处设置监测断面。</w:t>
      </w:r>
    </w:p>
    <w:p>
      <w:pPr>
        <w:ind w:firstLine="480" w:firstLineChars="200"/>
        <w:rPr>
          <w:rFonts w:ascii="宋体" w:hAnsi="宋体"/>
          <w:sz w:val="24"/>
        </w:rPr>
      </w:pPr>
      <w:r>
        <w:rPr>
          <w:rFonts w:ascii="宋体" w:hAnsi="宋体"/>
          <w:sz w:val="24"/>
        </w:rPr>
        <w:t>（2）湖、库：原则上按常规监测点位采样，但每个水源地的监测点位至少应在2个以上。</w:t>
      </w:r>
    </w:p>
    <w:p>
      <w:pPr>
        <w:ind w:firstLine="480" w:firstLineChars="200"/>
        <w:rPr>
          <w:rFonts w:ascii="宋体" w:hAnsi="宋体"/>
          <w:sz w:val="24"/>
        </w:rPr>
      </w:pPr>
      <w:r>
        <w:rPr>
          <w:rFonts w:ascii="宋体" w:hAnsi="宋体"/>
          <w:sz w:val="24"/>
        </w:rPr>
        <w:t>（3）地下水：在自来水厂的汇水区（加氯前）布设1点。</w:t>
      </w:r>
    </w:p>
    <w:p>
      <w:pPr>
        <w:ind w:firstLine="480" w:firstLineChars="200"/>
        <w:rPr>
          <w:rFonts w:ascii="宋体" w:hAnsi="宋体"/>
          <w:sz w:val="24"/>
        </w:rPr>
      </w:pPr>
      <w:r>
        <w:rPr>
          <w:rFonts w:ascii="宋体" w:hAnsi="宋体"/>
          <w:sz w:val="24"/>
        </w:rPr>
        <w:t>（4）采样深度：水面下0.5米处。</w:t>
      </w:r>
    </w:p>
    <w:p>
      <w:pPr>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2</w:instrText>
      </w:r>
      <w:r>
        <w:rPr>
          <w:rFonts w:hint="eastAsia" w:ascii="宋体" w:hAnsi="宋体"/>
          <w:sz w:val="24"/>
        </w:rPr>
        <w:instrText xml:space="preserve">)</w:instrText>
      </w:r>
      <w:r>
        <w:rPr>
          <w:rFonts w:ascii="宋体" w:hAnsi="宋体"/>
          <w:sz w:val="24"/>
        </w:rPr>
        <w:fldChar w:fldCharType="end"/>
      </w:r>
      <w:r>
        <w:rPr>
          <w:rFonts w:ascii="宋体" w:hAnsi="宋体"/>
          <w:sz w:val="24"/>
        </w:rPr>
        <w:t>、评价标准</w:t>
      </w:r>
    </w:p>
    <w:p>
      <w:pPr>
        <w:ind w:firstLine="480" w:firstLineChars="200"/>
        <w:rPr>
          <w:rFonts w:ascii="宋体" w:hAnsi="宋体"/>
          <w:sz w:val="24"/>
        </w:rPr>
      </w:pPr>
      <w:r>
        <w:rPr>
          <w:rFonts w:ascii="宋体" w:hAnsi="宋体"/>
          <w:sz w:val="24"/>
        </w:rPr>
        <w:t>地表水水源水质评价执行《地表水环境质量标准》（GH3838-2002）的Ⅲ类标准（见表1）；地下水水源水质评价执行《地下水质量标准》（GB/T14848-93）的Ⅲ类标准（见表2）。</w:t>
      </w:r>
    </w:p>
    <w:p>
      <w:pPr>
        <w:ind w:firstLine="480" w:firstLineChars="200"/>
        <w:jc w:val="center"/>
        <w:rPr>
          <w:rFonts w:ascii="宋体" w:hAnsi="宋体"/>
          <w:sz w:val="24"/>
        </w:rPr>
      </w:pPr>
      <w:r>
        <w:rPr>
          <w:rFonts w:ascii="宋体" w:hAnsi="宋体"/>
          <w:sz w:val="24"/>
        </w:rPr>
        <w:t>地表水环境质量标准基本项目Ⅲ类标准限值</w:t>
      </w:r>
    </w:p>
    <w:p>
      <w:pPr>
        <w:ind w:firstLine="480" w:firstLineChars="200"/>
        <w:rPr>
          <w:rFonts w:hint="eastAsia" w:ascii="宋体" w:hAnsi="宋体" w:cs="宋体"/>
          <w:color w:val="181818"/>
          <w:kern w:val="0"/>
          <w:szCs w:val="21"/>
        </w:rPr>
      </w:pPr>
      <w:r>
        <w:rPr>
          <w:rFonts w:ascii="宋体" w:hAnsi="宋体"/>
          <w:sz w:val="24"/>
        </w:rPr>
        <w:t>及集中式生活饮用水地表水源地补充项目标准限值</w:t>
      </w:r>
      <w:r>
        <w:rPr>
          <w:rFonts w:hint="eastAsia" w:ascii="宋体" w:hAnsi="宋体"/>
          <w:sz w:val="24"/>
        </w:rPr>
        <w:t xml:space="preserve"> </w:t>
      </w:r>
      <w:r>
        <w:rPr>
          <w:rFonts w:hint="eastAsia" w:ascii="宋体" w:hAnsi="宋体" w:cs="宋体"/>
          <w:color w:val="181818"/>
          <w:kern w:val="0"/>
          <w:szCs w:val="21"/>
        </w:rPr>
        <w:t xml:space="preserve">  </w:t>
      </w:r>
      <w:r>
        <w:rPr>
          <w:rFonts w:ascii="宋体" w:hAnsi="宋体" w:cs="宋体"/>
          <w:color w:val="181818"/>
          <w:kern w:val="0"/>
          <w:sz w:val="24"/>
        </w:rPr>
        <w:t>单位：mg/L</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0"/>
        <w:gridCol w:w="2160"/>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序号</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项目</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vMerge w:val="restart"/>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w:t>
            </w:r>
          </w:p>
        </w:tc>
        <w:tc>
          <w:tcPr>
            <w:tcW w:w="2160" w:type="dxa"/>
            <w:vMerge w:val="restart"/>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水温（℃）</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人为造成的环境水温变化应限制在：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vMerge w:val="continue"/>
            <w:noWrap w:val="0"/>
            <w:vAlign w:val="center"/>
          </w:tcPr>
          <w:p>
            <w:pPr>
              <w:widowControl/>
              <w:jc w:val="left"/>
              <w:rPr>
                <w:rFonts w:ascii="宋体" w:hAnsi="宋体" w:cs="宋体"/>
                <w:color w:val="3A3A3A"/>
                <w:kern w:val="0"/>
                <w:sz w:val="18"/>
                <w:szCs w:val="18"/>
              </w:rPr>
            </w:pPr>
          </w:p>
        </w:tc>
        <w:tc>
          <w:tcPr>
            <w:tcW w:w="2160" w:type="dxa"/>
            <w:vMerge w:val="continue"/>
            <w:noWrap w:val="0"/>
            <w:vAlign w:val="center"/>
          </w:tcPr>
          <w:p>
            <w:pPr>
              <w:widowControl/>
              <w:jc w:val="left"/>
              <w:rPr>
                <w:rFonts w:ascii="宋体" w:hAnsi="宋体" w:cs="宋体"/>
                <w:color w:val="3A3A3A"/>
                <w:kern w:val="0"/>
                <w:sz w:val="18"/>
                <w:szCs w:val="18"/>
              </w:rPr>
            </w:pP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周平均最大温升≤1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vMerge w:val="continue"/>
            <w:noWrap w:val="0"/>
            <w:vAlign w:val="center"/>
          </w:tcPr>
          <w:p>
            <w:pPr>
              <w:widowControl/>
              <w:jc w:val="left"/>
              <w:rPr>
                <w:rFonts w:ascii="宋体" w:hAnsi="宋体" w:cs="宋体"/>
                <w:color w:val="3A3A3A"/>
                <w:kern w:val="0"/>
                <w:sz w:val="18"/>
                <w:szCs w:val="18"/>
              </w:rPr>
            </w:pPr>
          </w:p>
        </w:tc>
        <w:tc>
          <w:tcPr>
            <w:tcW w:w="2160" w:type="dxa"/>
            <w:vMerge w:val="continue"/>
            <w:noWrap w:val="0"/>
            <w:vAlign w:val="center"/>
          </w:tcPr>
          <w:p>
            <w:pPr>
              <w:widowControl/>
              <w:jc w:val="left"/>
              <w:rPr>
                <w:rFonts w:ascii="宋体" w:hAnsi="宋体" w:cs="宋体"/>
                <w:color w:val="3A3A3A"/>
                <w:kern w:val="0"/>
                <w:sz w:val="18"/>
                <w:szCs w:val="18"/>
              </w:rPr>
            </w:pP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周平均最大温降≤2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pH值(无量纲)</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3</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溶解氧</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4</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高锰酸盐指数</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5</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化学需氧量</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6</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五日生化需氧量（BOD5）</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7</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氨氮（NH3－N）</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8</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总磷（以P计）</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9</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总氮（湖、库，以N计）</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铜</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11</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锌</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12</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 xml:space="preserve">氟化物（以F－计） </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13</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硒</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14</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砷</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15</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汞</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16</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镉</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17</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铬（六价）</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18</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铅</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19</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氰化物</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20</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挥发酚</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21</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石油类</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22</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阴离子表面活性剂</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23</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硫化物</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24</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粪大肠菌群（个/L）</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25</w:t>
            </w:r>
          </w:p>
        </w:tc>
        <w:tc>
          <w:tcPr>
            <w:tcW w:w="2160" w:type="dxa"/>
            <w:noWrap w:val="0"/>
            <w:vAlign w:val="center"/>
          </w:tcPr>
          <w:tbl>
            <w:tblPr>
              <w:tblStyle w:val="32"/>
              <w:tblW w:w="0" w:type="auto"/>
              <w:tblCellSpacing w:w="0" w:type="dxa"/>
              <w:tblInd w:w="0" w:type="dxa"/>
              <w:tblLayout w:type="fixed"/>
              <w:tblCellMar>
                <w:top w:w="0" w:type="dxa"/>
                <w:left w:w="0" w:type="dxa"/>
                <w:bottom w:w="0" w:type="dxa"/>
                <w:right w:w="0" w:type="dxa"/>
              </w:tblCellMar>
            </w:tblPr>
            <w:tblGrid>
              <w:gridCol w:w="2150"/>
            </w:tblGrid>
            <w:tr>
              <w:tblPrEx>
                <w:tblCellMar>
                  <w:top w:w="0" w:type="dxa"/>
                  <w:left w:w="0" w:type="dxa"/>
                  <w:bottom w:w="0" w:type="dxa"/>
                  <w:right w:w="0" w:type="dxa"/>
                </w:tblCellMar>
              </w:tblPrEx>
              <w:trPr>
                <w:tblCellSpacing w:w="0" w:type="dxa"/>
              </w:trPr>
              <w:tc>
                <w:tcPr>
                  <w:tcW w:w="2150" w:type="dxa"/>
                  <w:tcBorders>
                    <w:top w:val="nil"/>
                    <w:left w:val="nil"/>
                    <w:bottom w:val="nil"/>
                    <w:right w:val="nil"/>
                  </w:tcBorders>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硫酸盐（以</w:t>
                  </w:r>
                  <w:r>
                    <w:rPr>
                      <w:rFonts w:hint="eastAsia" w:ascii="宋体" w:hAnsi="宋体" w:cs="宋体"/>
                      <w:color w:val="3A3A3A"/>
                      <w:kern w:val="0"/>
                      <w:sz w:val="24"/>
                    </w:rPr>
                    <w:t>SO</w:t>
                  </w:r>
                  <w:r>
                    <w:rPr>
                      <w:rFonts w:hint="eastAsia" w:ascii="宋体" w:hAnsi="宋体" w:cs="宋体"/>
                      <w:color w:val="3A3A3A"/>
                      <w:kern w:val="0"/>
                      <w:sz w:val="24"/>
                      <w:vertAlign w:val="subscript"/>
                    </w:rPr>
                    <w:t>4</w:t>
                  </w:r>
                  <w:r>
                    <w:rPr>
                      <w:rFonts w:hint="eastAsia" w:ascii="宋体" w:hAnsi="宋体" w:cs="宋体"/>
                      <w:color w:val="3A3A3A"/>
                      <w:kern w:val="0"/>
                      <w:sz w:val="24"/>
                      <w:vertAlign w:val="superscript"/>
                    </w:rPr>
                    <w:t>2-</w:t>
                  </w:r>
                  <w:r>
                    <w:rPr>
                      <w:rFonts w:hint="eastAsia" w:ascii="宋体" w:hAnsi="宋体" w:cs="宋体"/>
                      <w:color w:val="3A3A3A"/>
                      <w:kern w:val="0"/>
                      <w:sz w:val="24"/>
                    </w:rPr>
                    <w:t>计）</w:t>
                  </w:r>
                </w:p>
              </w:tc>
            </w:tr>
          </w:tbl>
          <w:p>
            <w:pPr>
              <w:widowControl/>
              <w:jc w:val="left"/>
              <w:rPr>
                <w:rFonts w:ascii="宋体" w:hAnsi="宋体" w:cs="宋体"/>
                <w:color w:val="3A3A3A"/>
                <w:kern w:val="0"/>
                <w:sz w:val="18"/>
                <w:szCs w:val="18"/>
              </w:rPr>
            </w:pP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26</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氯化物（以Cl－计）</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27</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硝酸盐（以N计）</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28</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铁</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4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29</w:t>
            </w:r>
          </w:p>
        </w:tc>
        <w:tc>
          <w:tcPr>
            <w:tcW w:w="216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锰</w:t>
            </w:r>
          </w:p>
        </w:tc>
        <w:tc>
          <w:tcPr>
            <w:tcW w:w="420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0.1</w:t>
            </w:r>
          </w:p>
        </w:tc>
      </w:tr>
    </w:tbl>
    <w:p>
      <w:pPr>
        <w:ind w:firstLine="480" w:firstLineChars="200"/>
        <w:jc w:val="center"/>
        <w:rPr>
          <w:rFonts w:hint="eastAsia" w:ascii="宋体" w:hAnsi="宋体"/>
          <w:sz w:val="24"/>
        </w:rPr>
      </w:pPr>
      <w:r>
        <w:rPr>
          <w:rFonts w:ascii="宋体" w:hAnsi="宋体"/>
          <w:sz w:val="24"/>
        </w:rPr>
        <w:t>地下水质量Ⅲ类标准限值（部分项目）</w:t>
      </w:r>
      <w:r>
        <w:rPr>
          <w:rFonts w:hint="eastAsia" w:ascii="宋体" w:hAnsi="宋体"/>
          <w:sz w:val="24"/>
        </w:rPr>
        <w:t xml:space="preserve">  </w:t>
      </w:r>
      <w:r>
        <w:rPr>
          <w:rFonts w:ascii="宋体" w:hAnsi="宋体" w:cs="宋体"/>
          <w:color w:val="181818"/>
          <w:kern w:val="0"/>
          <w:sz w:val="24"/>
        </w:rPr>
        <w:t>单位：mg/L</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9"/>
        <w:gridCol w:w="2320"/>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序号</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项目</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pH值(无量纲)</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总硬度（以CaCO3计）</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3</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硫酸盐</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4</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氯化物（以Cl－计）</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5</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铁</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6</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锰</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7</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铜</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8</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锌</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9</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挥发性酚类（以苯酚计）</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阴离子合成洗涤剂</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11</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高锰酸盐指数</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12</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硝酸盐（以N计）</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13</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亚硝酸盐（以N计）</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14</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氨氮（NH3－N）</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15</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氟化物（以F－计）</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16</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氰化物</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17</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汞</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18</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砷</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19</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硒</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20</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镉</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21</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铬（六价）</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22</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铅</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19"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23</w:t>
            </w:r>
          </w:p>
        </w:tc>
        <w:tc>
          <w:tcPr>
            <w:tcW w:w="2320"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总大肠菌群（个/L）</w:t>
            </w:r>
          </w:p>
        </w:tc>
        <w:tc>
          <w:tcPr>
            <w:tcW w:w="2421" w:type="dxa"/>
            <w:noWrap w:val="0"/>
            <w:vAlign w:val="center"/>
          </w:tcPr>
          <w:p>
            <w:pPr>
              <w:widowControl/>
              <w:spacing w:before="100" w:beforeAutospacing="1" w:after="100" w:afterAutospacing="1"/>
              <w:jc w:val="left"/>
              <w:rPr>
                <w:rFonts w:ascii="宋体" w:hAnsi="宋体" w:cs="宋体"/>
                <w:color w:val="3A3A3A"/>
                <w:kern w:val="0"/>
                <w:sz w:val="18"/>
                <w:szCs w:val="18"/>
              </w:rPr>
            </w:pPr>
            <w:r>
              <w:rPr>
                <w:rFonts w:ascii="宋体" w:hAnsi="宋体" w:cs="宋体"/>
                <w:color w:val="3A3A3A"/>
                <w:kern w:val="0"/>
                <w:sz w:val="24"/>
              </w:rPr>
              <w:t>≤3.0</w:t>
            </w:r>
          </w:p>
        </w:tc>
      </w:tr>
    </w:tbl>
    <w:p>
      <w:pPr>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3</w:instrText>
      </w:r>
      <w:r>
        <w:rPr>
          <w:rFonts w:hint="eastAsia" w:ascii="宋体" w:hAnsi="宋体"/>
          <w:sz w:val="24"/>
        </w:rPr>
        <w:instrText xml:space="preserve">)</w:instrText>
      </w:r>
      <w:r>
        <w:rPr>
          <w:rFonts w:ascii="宋体" w:hAnsi="宋体"/>
          <w:sz w:val="24"/>
        </w:rPr>
        <w:fldChar w:fldCharType="end"/>
      </w:r>
      <w:r>
        <w:rPr>
          <w:rFonts w:ascii="宋体" w:hAnsi="宋体"/>
          <w:sz w:val="24"/>
        </w:rPr>
        <w:t>、采样时间</w:t>
      </w:r>
    </w:p>
    <w:p>
      <w:pPr>
        <w:ind w:firstLine="480" w:firstLineChars="200"/>
        <w:rPr>
          <w:rFonts w:ascii="宋体" w:hAnsi="宋体"/>
          <w:sz w:val="24"/>
        </w:rPr>
      </w:pPr>
      <w:r>
        <w:rPr>
          <w:rFonts w:ascii="宋体" w:hAnsi="宋体"/>
          <w:sz w:val="24"/>
        </w:rPr>
        <w:t>每月上旬采样一次。如遇异常情况，则必须加密采样一次，两次监测结果均报送总站。</w:t>
      </w:r>
    </w:p>
    <w:p>
      <w:pPr>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4</w:instrText>
      </w:r>
      <w:r>
        <w:rPr>
          <w:rFonts w:hint="eastAsia" w:ascii="宋体" w:hAnsi="宋体"/>
          <w:sz w:val="24"/>
        </w:rPr>
        <w:instrText xml:space="preserve">)</w:instrText>
      </w:r>
      <w:r>
        <w:rPr>
          <w:rFonts w:ascii="宋体" w:hAnsi="宋体"/>
          <w:sz w:val="24"/>
        </w:rPr>
        <w:fldChar w:fldCharType="end"/>
      </w:r>
      <w:r>
        <w:rPr>
          <w:rFonts w:ascii="宋体" w:hAnsi="宋体"/>
          <w:sz w:val="24"/>
        </w:rPr>
        <w:t>、监测项目和频次</w:t>
      </w:r>
    </w:p>
    <w:p>
      <w:pPr>
        <w:ind w:firstLine="480" w:firstLineChars="200"/>
        <w:rPr>
          <w:rFonts w:hint="eastAsia" w:ascii="宋体" w:hAnsi="宋体"/>
          <w:sz w:val="24"/>
        </w:rPr>
      </w:pPr>
      <w:r>
        <w:rPr>
          <w:rFonts w:ascii="宋体" w:hAnsi="宋体"/>
          <w:sz w:val="24"/>
        </w:rPr>
        <w:t>新颁布的地表水标准中基本项目和补充项目共29项，其中CODCr适用于污染较重水体的评价，不纳入饮用水源地水质监测和评价，故总监测和评价项目28项；地下水标准中规定的监测项目为23项。监测项目和监测频次见</w:t>
      </w:r>
      <w:r>
        <w:rPr>
          <w:rFonts w:hint="eastAsia" w:ascii="宋体" w:hAnsi="宋体"/>
          <w:sz w:val="24"/>
        </w:rPr>
        <w:t>下</w:t>
      </w:r>
      <w:r>
        <w:rPr>
          <w:rFonts w:ascii="宋体" w:hAnsi="宋体"/>
          <w:sz w:val="24"/>
        </w:rPr>
        <w:t>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4"/>
        <w:gridCol w:w="1085"/>
        <w:gridCol w:w="6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54"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监测项目</w:t>
            </w:r>
          </w:p>
        </w:tc>
        <w:tc>
          <w:tcPr>
            <w:tcW w:w="1085"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监测频次</w:t>
            </w:r>
          </w:p>
        </w:tc>
        <w:tc>
          <w:tcPr>
            <w:tcW w:w="6076"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1154" w:type="dxa"/>
            <w:vMerge w:val="restart"/>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地</w:t>
            </w:r>
          </w:p>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表</w:t>
            </w:r>
          </w:p>
          <w:tbl>
            <w:tblPr>
              <w:tblStyle w:val="32"/>
              <w:tblW w:w="0" w:type="auto"/>
              <w:tblCellSpacing w:w="0" w:type="dxa"/>
              <w:tblInd w:w="0" w:type="dxa"/>
              <w:tblLayout w:type="fixed"/>
              <w:tblCellMar>
                <w:top w:w="0" w:type="dxa"/>
                <w:left w:w="0" w:type="dxa"/>
                <w:bottom w:w="0" w:type="dxa"/>
                <w:right w:w="0" w:type="dxa"/>
              </w:tblCellMar>
            </w:tblPr>
            <w:tblGrid>
              <w:gridCol w:w="1144"/>
            </w:tblGrid>
            <w:tr>
              <w:tblPrEx>
                <w:tblCellMar>
                  <w:top w:w="0" w:type="dxa"/>
                  <w:left w:w="0" w:type="dxa"/>
                  <w:bottom w:w="0" w:type="dxa"/>
                  <w:right w:w="0" w:type="dxa"/>
                </w:tblCellMar>
              </w:tblPrEx>
              <w:trPr>
                <w:tblCellSpacing w:w="0" w:type="dxa"/>
              </w:trPr>
              <w:tc>
                <w:tcPr>
                  <w:tcW w:w="1144" w:type="dxa"/>
                  <w:tcBorders>
                    <w:top w:val="nil"/>
                    <w:left w:val="nil"/>
                    <w:bottom w:val="nil"/>
                    <w:right w:val="nil"/>
                  </w:tcBorders>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水</w:t>
                  </w:r>
                </w:p>
              </w:tc>
            </w:tr>
          </w:tbl>
          <w:p>
            <w:pPr>
              <w:widowControl/>
              <w:jc w:val="center"/>
              <w:rPr>
                <w:rFonts w:ascii="宋体" w:hAnsi="宋体" w:cs="宋体"/>
                <w:vanish/>
                <w:color w:val="3A3A3A"/>
                <w:kern w:val="0"/>
                <w:sz w:val="18"/>
                <w:szCs w:val="18"/>
              </w:rPr>
            </w:pPr>
          </w:p>
          <w:p>
            <w:pPr>
              <w:jc w:val="center"/>
              <w:rPr>
                <w:rFonts w:ascii="宋体" w:hAnsi="宋体" w:cs="宋体"/>
                <w:color w:val="3A3A3A"/>
                <w:kern w:val="0"/>
                <w:sz w:val="18"/>
                <w:szCs w:val="18"/>
              </w:rPr>
            </w:pPr>
          </w:p>
        </w:tc>
        <w:tc>
          <w:tcPr>
            <w:tcW w:w="1085"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必测项目（10项）</w:t>
            </w:r>
          </w:p>
        </w:tc>
        <w:tc>
          <w:tcPr>
            <w:tcW w:w="6076" w:type="dxa"/>
            <w:noWrap w:val="0"/>
            <w:vAlign w:val="center"/>
          </w:tcPr>
          <w:p>
            <w:pPr>
              <w:widowControl/>
              <w:spacing w:before="100" w:beforeAutospacing="1" w:after="100" w:afterAutospacing="1"/>
              <w:rPr>
                <w:rFonts w:ascii="宋体" w:hAnsi="宋体" w:cs="宋体"/>
                <w:color w:val="3A3A3A"/>
                <w:kern w:val="0"/>
                <w:sz w:val="18"/>
                <w:szCs w:val="18"/>
              </w:rPr>
            </w:pPr>
            <w:r>
              <w:rPr>
                <w:rFonts w:ascii="宋体" w:hAnsi="宋体" w:cs="宋体"/>
                <w:color w:val="3A3A3A"/>
                <w:kern w:val="0"/>
                <w:sz w:val="24"/>
              </w:rPr>
              <w:t>水温、pH值、总磷、高锰酸盐指数、溶解氧、氟化物、挥发酚、石油类、粪大肠菌群、氨氮每月监测一次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2" w:hRule="atLeast"/>
          <w:jc w:val="center"/>
        </w:trPr>
        <w:tc>
          <w:tcPr>
            <w:tcW w:w="1154" w:type="dxa"/>
            <w:vMerge w:val="continue"/>
            <w:noWrap w:val="0"/>
            <w:vAlign w:val="center"/>
          </w:tcPr>
          <w:p>
            <w:pPr>
              <w:widowControl/>
              <w:jc w:val="center"/>
              <w:rPr>
                <w:rFonts w:ascii="宋体" w:hAnsi="宋体" w:cs="宋体"/>
                <w:color w:val="3A3A3A"/>
                <w:kern w:val="0"/>
                <w:sz w:val="18"/>
                <w:szCs w:val="18"/>
              </w:rPr>
            </w:pPr>
          </w:p>
        </w:tc>
        <w:tc>
          <w:tcPr>
            <w:tcW w:w="1085"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选测项目（18项）</w:t>
            </w:r>
          </w:p>
        </w:tc>
        <w:tc>
          <w:tcPr>
            <w:tcW w:w="6076" w:type="dxa"/>
            <w:noWrap w:val="0"/>
            <w:vAlign w:val="center"/>
          </w:tcPr>
          <w:p>
            <w:pPr>
              <w:widowControl/>
              <w:spacing w:before="100" w:beforeAutospacing="1" w:after="100" w:afterAutospacing="1"/>
              <w:rPr>
                <w:rFonts w:ascii="宋体" w:hAnsi="宋体" w:cs="宋体"/>
                <w:color w:val="3A3A3A"/>
                <w:kern w:val="0"/>
                <w:sz w:val="18"/>
                <w:szCs w:val="18"/>
              </w:rPr>
            </w:pPr>
            <w:r>
              <w:rPr>
                <w:rFonts w:ascii="宋体" w:hAnsi="宋体" w:cs="宋体"/>
                <w:color w:val="3A3A3A"/>
                <w:kern w:val="0"/>
                <w:sz w:val="24"/>
              </w:rPr>
              <w:t>硫酸盐、总氮、五日生化需氧量、氯化物、铁、锰、硝酸盐氮、铜、锌、硒、砷、镉、铬（六价）、铅、汞、阴离子表面活性剂、氰化物和硫化物每年1月、7月各监测一次凡超过地表水Ⅱ类标准的项目，每月监测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5" w:hRule="atLeast"/>
          <w:jc w:val="center"/>
        </w:trPr>
        <w:tc>
          <w:tcPr>
            <w:tcW w:w="1154" w:type="dxa"/>
            <w:vMerge w:val="restart"/>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地</w:t>
            </w:r>
          </w:p>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下</w:t>
            </w:r>
          </w:p>
          <w:tbl>
            <w:tblPr>
              <w:tblStyle w:val="32"/>
              <w:tblW w:w="0" w:type="auto"/>
              <w:tblCellSpacing w:w="0" w:type="dxa"/>
              <w:tblInd w:w="0" w:type="dxa"/>
              <w:tblLayout w:type="fixed"/>
              <w:tblCellMar>
                <w:top w:w="0" w:type="dxa"/>
                <w:left w:w="0" w:type="dxa"/>
                <w:bottom w:w="0" w:type="dxa"/>
                <w:right w:w="0" w:type="dxa"/>
              </w:tblCellMar>
            </w:tblPr>
            <w:tblGrid>
              <w:gridCol w:w="1144"/>
            </w:tblGrid>
            <w:tr>
              <w:tblPrEx>
                <w:tblCellMar>
                  <w:top w:w="0" w:type="dxa"/>
                  <w:left w:w="0" w:type="dxa"/>
                  <w:bottom w:w="0" w:type="dxa"/>
                  <w:right w:w="0" w:type="dxa"/>
                </w:tblCellMar>
              </w:tblPrEx>
              <w:trPr>
                <w:tblCellSpacing w:w="0" w:type="dxa"/>
              </w:trPr>
              <w:tc>
                <w:tcPr>
                  <w:tcW w:w="1144" w:type="dxa"/>
                  <w:tcBorders>
                    <w:top w:val="nil"/>
                    <w:left w:val="nil"/>
                    <w:bottom w:val="nil"/>
                    <w:right w:val="nil"/>
                  </w:tcBorders>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水</w:t>
                  </w:r>
                </w:p>
              </w:tc>
            </w:tr>
          </w:tbl>
          <w:p>
            <w:pPr>
              <w:widowControl/>
              <w:jc w:val="center"/>
              <w:rPr>
                <w:rFonts w:ascii="宋体" w:hAnsi="宋体" w:cs="宋体"/>
                <w:vanish/>
                <w:color w:val="3A3A3A"/>
                <w:kern w:val="0"/>
                <w:sz w:val="18"/>
                <w:szCs w:val="18"/>
              </w:rPr>
            </w:pPr>
          </w:p>
          <w:p>
            <w:pPr>
              <w:jc w:val="center"/>
              <w:rPr>
                <w:rFonts w:ascii="宋体" w:hAnsi="宋体" w:cs="宋体"/>
                <w:color w:val="3A3A3A"/>
                <w:kern w:val="0"/>
                <w:sz w:val="18"/>
                <w:szCs w:val="18"/>
              </w:rPr>
            </w:pPr>
          </w:p>
        </w:tc>
        <w:tc>
          <w:tcPr>
            <w:tcW w:w="1085"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必测项目（8项）</w:t>
            </w:r>
          </w:p>
        </w:tc>
        <w:tc>
          <w:tcPr>
            <w:tcW w:w="6076" w:type="dxa"/>
            <w:noWrap w:val="0"/>
            <w:vAlign w:val="center"/>
          </w:tcPr>
          <w:p>
            <w:pPr>
              <w:widowControl/>
              <w:spacing w:before="100" w:beforeAutospacing="1" w:after="100" w:afterAutospacing="1"/>
              <w:rPr>
                <w:rFonts w:ascii="宋体" w:hAnsi="宋体" w:cs="宋体"/>
                <w:color w:val="3A3A3A"/>
                <w:kern w:val="0"/>
                <w:sz w:val="18"/>
                <w:szCs w:val="18"/>
              </w:rPr>
            </w:pPr>
            <w:r>
              <w:rPr>
                <w:rFonts w:ascii="宋体" w:hAnsi="宋体" w:cs="宋体"/>
                <w:color w:val="3A3A3A"/>
                <w:kern w:val="0"/>
                <w:sz w:val="24"/>
              </w:rPr>
              <w:t>pH值、总硬度、硫酸盐、氯化物、高锰酸盐指数、氨氮、氟化物和总大肠菌群每月监测一次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8" w:hRule="atLeast"/>
          <w:jc w:val="center"/>
        </w:trPr>
        <w:tc>
          <w:tcPr>
            <w:tcW w:w="1154" w:type="dxa"/>
            <w:vMerge w:val="continue"/>
            <w:noWrap w:val="0"/>
            <w:vAlign w:val="center"/>
          </w:tcPr>
          <w:p>
            <w:pPr>
              <w:widowControl/>
              <w:jc w:val="center"/>
              <w:rPr>
                <w:rFonts w:ascii="宋体" w:hAnsi="宋体" w:cs="宋体"/>
                <w:color w:val="3A3A3A"/>
                <w:kern w:val="0"/>
                <w:sz w:val="18"/>
                <w:szCs w:val="18"/>
              </w:rPr>
            </w:pPr>
          </w:p>
        </w:tc>
        <w:tc>
          <w:tcPr>
            <w:tcW w:w="1085" w:type="dxa"/>
            <w:noWrap w:val="0"/>
            <w:vAlign w:val="center"/>
          </w:tcPr>
          <w:p>
            <w:pPr>
              <w:widowControl/>
              <w:spacing w:before="100" w:beforeAutospacing="1" w:after="100" w:afterAutospacing="1"/>
              <w:jc w:val="center"/>
              <w:rPr>
                <w:rFonts w:ascii="宋体" w:hAnsi="宋体" w:cs="宋体"/>
                <w:color w:val="3A3A3A"/>
                <w:kern w:val="0"/>
                <w:sz w:val="18"/>
                <w:szCs w:val="18"/>
              </w:rPr>
            </w:pPr>
            <w:r>
              <w:rPr>
                <w:rFonts w:ascii="宋体" w:hAnsi="宋体" w:cs="宋体"/>
                <w:color w:val="3A3A3A"/>
                <w:kern w:val="0"/>
                <w:sz w:val="24"/>
              </w:rPr>
              <w:t>选测项目（15项）</w:t>
            </w:r>
          </w:p>
        </w:tc>
        <w:tc>
          <w:tcPr>
            <w:tcW w:w="6076" w:type="dxa"/>
            <w:noWrap w:val="0"/>
            <w:vAlign w:val="center"/>
          </w:tcPr>
          <w:p>
            <w:pPr>
              <w:widowControl/>
              <w:spacing w:before="100" w:beforeAutospacing="1" w:after="100" w:afterAutospacing="1"/>
              <w:rPr>
                <w:rFonts w:ascii="宋体" w:hAnsi="宋体" w:cs="宋体"/>
                <w:color w:val="3A3A3A"/>
                <w:kern w:val="0"/>
                <w:sz w:val="18"/>
                <w:szCs w:val="18"/>
              </w:rPr>
            </w:pPr>
            <w:r>
              <w:rPr>
                <w:rFonts w:ascii="宋体" w:hAnsi="宋体" w:cs="宋体"/>
                <w:color w:val="3A3A3A"/>
                <w:kern w:val="0"/>
                <w:sz w:val="24"/>
              </w:rPr>
              <w:t>挥发酚、硝酸盐氮、亚硝酸盐氮、铁、锰、铜、锌、阴离子合成洗涤剂、氰化物、汞、砷、硒、镉、六价铬和铅每年1月、7月各1月、7月各监测一次凡超过地下水Ⅱ类标准的项目，每月监测并报告</w:t>
            </w:r>
          </w:p>
        </w:tc>
      </w:tr>
    </w:tbl>
    <w:p>
      <w:pPr>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5</w:instrText>
      </w:r>
      <w:r>
        <w:rPr>
          <w:rFonts w:hint="eastAsia" w:ascii="宋体" w:hAnsi="宋体"/>
          <w:sz w:val="24"/>
        </w:rPr>
        <w:instrText xml:space="preserve">)</w:instrText>
      </w:r>
      <w:r>
        <w:rPr>
          <w:rFonts w:ascii="宋体" w:hAnsi="宋体"/>
          <w:sz w:val="24"/>
        </w:rPr>
        <w:fldChar w:fldCharType="end"/>
      </w:r>
      <w:r>
        <w:rPr>
          <w:rFonts w:ascii="宋体" w:hAnsi="宋体"/>
          <w:sz w:val="24"/>
        </w:rPr>
        <w:t>、采样和分析方法</w:t>
      </w:r>
    </w:p>
    <w:p>
      <w:pPr>
        <w:ind w:firstLine="480" w:firstLineChars="200"/>
        <w:rPr>
          <w:rFonts w:ascii="宋体" w:hAnsi="宋体"/>
          <w:sz w:val="24"/>
        </w:rPr>
      </w:pPr>
      <w:r>
        <w:rPr>
          <w:rFonts w:ascii="宋体" w:hAnsi="宋体"/>
          <w:sz w:val="24"/>
        </w:rPr>
        <w:t>采样方法按《环境监测技术规范（水和废水部分）》执行。</w:t>
      </w:r>
    </w:p>
    <w:p>
      <w:pPr>
        <w:ind w:firstLine="480" w:firstLineChars="200"/>
        <w:rPr>
          <w:rFonts w:ascii="宋体" w:hAnsi="宋体"/>
          <w:sz w:val="24"/>
        </w:rPr>
      </w:pPr>
      <w:r>
        <w:rPr>
          <w:rFonts w:ascii="宋体" w:hAnsi="宋体"/>
          <w:sz w:val="24"/>
        </w:rPr>
        <w:t>分析方法：地表水按《地表水环境质量标准》（GB3838－2002）要求的方法，地下水按国家标准《生活饮用水标准检验方法》（GB-5750）执行。</w:t>
      </w:r>
    </w:p>
    <w:p>
      <w:pPr>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6</w:instrText>
      </w:r>
      <w:r>
        <w:rPr>
          <w:rFonts w:hint="eastAsia" w:ascii="宋体" w:hAnsi="宋体"/>
          <w:sz w:val="24"/>
        </w:rPr>
        <w:instrText xml:space="preserve">)</w:instrText>
      </w:r>
      <w:r>
        <w:rPr>
          <w:rFonts w:ascii="宋体" w:hAnsi="宋体"/>
          <w:sz w:val="24"/>
        </w:rPr>
        <w:fldChar w:fldCharType="end"/>
      </w:r>
      <w:r>
        <w:rPr>
          <w:rFonts w:ascii="宋体" w:hAnsi="宋体"/>
          <w:sz w:val="24"/>
        </w:rPr>
        <w:t>、评价方法</w:t>
      </w:r>
    </w:p>
    <w:p>
      <w:pPr>
        <w:ind w:firstLine="480" w:firstLineChars="200"/>
        <w:rPr>
          <w:rFonts w:hint="eastAsia" w:ascii="宋体" w:hAnsi="宋体"/>
          <w:sz w:val="24"/>
        </w:rPr>
      </w:pPr>
      <w:r>
        <w:rPr>
          <w:rFonts w:ascii="宋体" w:hAnsi="宋体"/>
          <w:sz w:val="24"/>
        </w:rPr>
        <w:t>评价以Ⅲ类水质标准为依据，给出超标水源地和主要污染物名称。</w:t>
      </w:r>
    </w:p>
    <w:p>
      <w:pPr>
        <w:ind w:firstLine="480" w:firstLineChars="200"/>
        <w:rPr>
          <w:rFonts w:hint="eastAsia" w:ascii="宋体" w:hAnsi="宋体"/>
          <w:sz w:val="24"/>
        </w:rPr>
      </w:pPr>
      <w:r>
        <w:rPr>
          <w:rFonts w:hint="eastAsia" w:ascii="宋体" w:hAnsi="宋体"/>
          <w:sz w:val="24"/>
        </w:rPr>
        <w:t>（3）监测站点规划</w:t>
      </w:r>
    </w:p>
    <w:p>
      <w:pPr>
        <w:ind w:firstLine="480" w:firstLineChars="200"/>
        <w:rPr>
          <w:rFonts w:hint="eastAsia" w:ascii="宋体" w:hAnsi="宋体"/>
          <w:sz w:val="24"/>
        </w:rPr>
      </w:pPr>
      <w:r>
        <w:rPr>
          <w:rFonts w:hint="eastAsia" w:ascii="宋体" w:hAnsi="宋体"/>
          <w:sz w:val="24"/>
        </w:rPr>
        <w:t>监测站点布设主要针对地下水水源地地下水位、井口出水水质、供水水量、供水水质和地表水水源地供水水量、供水水质等，包括区域地下水水位、水质专用观测井建设以及饮用水水源地水量（水位）和水质自动监测站的建立，提高饮用水水源地水质自动监测和实时监测的能力。</w:t>
      </w:r>
    </w:p>
    <w:p>
      <w:pPr>
        <w:ind w:firstLine="480" w:firstLineChars="200"/>
        <w:rPr>
          <w:rFonts w:ascii="宋体" w:hAnsi="宋体"/>
          <w:sz w:val="24"/>
        </w:rPr>
      </w:pPr>
      <w:r>
        <w:rPr>
          <w:rFonts w:hint="eastAsia" w:ascii="宋体" w:hAnsi="宋体"/>
          <w:sz w:val="24"/>
        </w:rPr>
        <w:t>监测系统由环保部门统一管理，各监测点的监测要做到水质水量同步。同步建设的自动水质、水量监测系统有利于及时发现问题，为预警系统提供基础数据保障。</w:t>
      </w:r>
    </w:p>
    <w:p>
      <w:pPr>
        <w:pStyle w:val="5"/>
        <w:adjustRightInd/>
        <w:snapToGrid/>
        <w:spacing w:line="360" w:lineRule="auto"/>
        <w:ind w:firstLine="480" w:firstLineChars="200"/>
        <w:rPr>
          <w:rFonts w:hint="eastAsia" w:ascii="宋体" w:hAnsi="宋体" w:eastAsia="宋体" w:cs="宋体"/>
          <w:b w:val="0"/>
          <w:bCs w:val="0"/>
          <w:sz w:val="24"/>
          <w:szCs w:val="24"/>
        </w:rPr>
      </w:pPr>
      <w:bookmarkStart w:id="95" w:name="_Toc4912"/>
      <w:bookmarkStart w:id="96" w:name="_Toc355091847"/>
      <w:r>
        <w:rPr>
          <w:rFonts w:hint="eastAsia" w:ascii="宋体" w:hAnsi="宋体" w:eastAsia="宋体" w:cs="宋体"/>
          <w:b w:val="0"/>
          <w:bCs w:val="0"/>
          <w:sz w:val="24"/>
          <w:szCs w:val="24"/>
        </w:rPr>
        <w:t>水源地保护安全预案</w:t>
      </w:r>
      <w:bookmarkEnd w:id="95"/>
      <w:bookmarkEnd w:id="96"/>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bookmarkStart w:id="97" w:name="_Toc4115"/>
      <w:bookmarkStart w:id="98" w:name="_Toc25032"/>
      <w:r>
        <w:rPr>
          <w:rFonts w:hint="default" w:ascii="Times New Roman" w:hAnsi="Times New Roman" w:eastAsia="宋体" w:cs="Times New Roman"/>
          <w:b w:val="0"/>
          <w:bCs w:val="0"/>
          <w:sz w:val="24"/>
          <w:szCs w:val="24"/>
          <w:highlight w:val="none"/>
        </w:rPr>
        <w:t>通过饮用水源风险源的识别，制定不同风险源的应急处理处置方案，形成应对突发性事故应急处理处置能力。工程的主要内容包括：建设饮用水水源地应急系统，保障系统有效运行；建立饮用水水源地应急设备；制定饮用水水源地应急预案。</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根据应急级别编制相应的应急预案，所采取的措施分为工程措施和非工程措施。工程措施是在应急条件下为保障供水而实施的，包括跨流域调水工程、应急水源工程（包括中水深度处理回用）的启动、运水工具和储水设施、污染治理与修复工程等。</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非工程措施是指应急组织机构、污染信息发布制度、决策的部门内、部门间会商制度、紧急用水管理制度、紧急救援技术及人员、宣传和奖励办法等。</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1</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组织指挥体系</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rPr>
        <w:t>应急指挥部。</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生活饮用水源突发性污染事故发生后，指挥长或指挥长委托副指挥长立即赶赴事故现场，成立现场指挥部，进行现场组织指挥；组织、协调各级各部门实施应急预案，调用各类物资、设备、人员，在事故处理结束后协调各相关部门做好归还和补偿工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）应急处置工作组</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应急处置工作组主要包括：污染事故应急处理工作组</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应急供水工作组</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供水监测和医疗救护工作组</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警戒保卫工作组</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宣传工作组</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善后救助工作组。</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2</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应急状态和应急措施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rPr>
        <w:t>）水源污染应急状态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①</w:t>
      </w:r>
      <w:r>
        <w:rPr>
          <w:rFonts w:hint="default" w:ascii="Times New Roman" w:hAnsi="Times New Roman" w:eastAsia="宋体" w:cs="Times New Roman"/>
          <w:b w:val="0"/>
          <w:bCs w:val="0"/>
          <w:sz w:val="24"/>
          <w:szCs w:val="24"/>
          <w:highlight w:val="none"/>
        </w:rPr>
        <w:t>供水预警状态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当因污染导致生活饮用水源水质超标，但经过处理仍能保证生活饮用水达到饮用水卫生标准的情况下，供水进入预警状态。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②</w:t>
      </w:r>
      <w:r>
        <w:rPr>
          <w:rFonts w:hint="default" w:ascii="Times New Roman" w:hAnsi="Times New Roman" w:eastAsia="宋体" w:cs="Times New Roman"/>
          <w:b w:val="0"/>
          <w:bCs w:val="0"/>
          <w:sz w:val="24"/>
          <w:szCs w:val="24"/>
          <w:highlight w:val="none"/>
        </w:rPr>
        <w:t>供水警戒状态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当发生突发性严重水污染事故，预测可能导致供水经处理后仍不能达到饮用水卫生标准需停止取水时，供水进入警戒状态。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③</w:t>
      </w:r>
      <w:r>
        <w:rPr>
          <w:rFonts w:hint="default" w:ascii="Times New Roman" w:hAnsi="Times New Roman" w:eastAsia="宋体" w:cs="Times New Roman"/>
          <w:b w:val="0"/>
          <w:bCs w:val="0"/>
          <w:sz w:val="24"/>
          <w:szCs w:val="24"/>
          <w:highlight w:val="none"/>
        </w:rPr>
        <w:t>供水紧急状态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当饮用水源上游发生突发性污染事故，导致供水厂水源污染，并且经处理后水质仍不能达到饮用水卫生标准需立即停止取水时，供水进入紧急状态。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④</w:t>
      </w:r>
      <w:r>
        <w:rPr>
          <w:rFonts w:hint="default" w:ascii="Times New Roman" w:hAnsi="Times New Roman" w:eastAsia="宋体" w:cs="Times New Roman"/>
          <w:b w:val="0"/>
          <w:bCs w:val="0"/>
          <w:sz w:val="24"/>
          <w:szCs w:val="24"/>
          <w:highlight w:val="none"/>
        </w:rPr>
        <w:t>管网水污染特别紧急状态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当发现水源污染，污染物已经进入供水管网系统时立即进入管网水污染特别紧急状态。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）应急措施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①</w:t>
      </w:r>
      <w:r>
        <w:rPr>
          <w:rFonts w:hint="default" w:ascii="Times New Roman" w:hAnsi="Times New Roman" w:eastAsia="宋体" w:cs="Times New Roman"/>
          <w:b w:val="0"/>
          <w:bCs w:val="0"/>
          <w:sz w:val="24"/>
          <w:szCs w:val="24"/>
          <w:highlight w:val="none"/>
        </w:rPr>
        <w:t>供水预警状态应急措施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a.</w:t>
      </w:r>
      <w:r>
        <w:rPr>
          <w:rFonts w:hint="default" w:ascii="Times New Roman" w:hAnsi="Times New Roman" w:eastAsia="宋体" w:cs="Times New Roman"/>
          <w:b w:val="0"/>
          <w:bCs w:val="0"/>
          <w:sz w:val="24"/>
          <w:szCs w:val="24"/>
          <w:highlight w:val="none"/>
        </w:rPr>
        <w:t>进入供水预警状态时，由建设局牵头，会同环保、卫生、自来水公司制订跟踪监测方案，搞好监测调查，查明污染原因，随时掌握水质的变化动态。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b.</w:t>
      </w:r>
      <w:r>
        <w:rPr>
          <w:rFonts w:hint="default" w:ascii="Times New Roman" w:hAnsi="Times New Roman" w:eastAsia="宋体" w:cs="Times New Roman"/>
          <w:b w:val="0"/>
          <w:bCs w:val="0"/>
          <w:sz w:val="24"/>
          <w:szCs w:val="24"/>
          <w:highlight w:val="none"/>
        </w:rPr>
        <w:t>应急供水工作组指导自来水公司加强对供水水质的监测，确保供水安全。</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c.</w:t>
      </w:r>
      <w:r>
        <w:rPr>
          <w:rFonts w:hint="default" w:ascii="Times New Roman" w:hAnsi="Times New Roman" w:eastAsia="宋体" w:cs="Times New Roman"/>
          <w:b w:val="0"/>
          <w:bCs w:val="0"/>
          <w:sz w:val="24"/>
          <w:szCs w:val="24"/>
          <w:highlight w:val="none"/>
        </w:rPr>
        <w:t>属相关超标项目排污单位引起的污染事故，污染事故处理工作组应对排污单位实行限制生产和排水，直至停产停排，并根据突发环境污染事件报告程序向上级有关部门报告。</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d.</w:t>
      </w:r>
      <w:r>
        <w:rPr>
          <w:rFonts w:hint="default" w:ascii="Times New Roman" w:hAnsi="Times New Roman" w:eastAsia="宋体" w:cs="Times New Roman"/>
          <w:b w:val="0"/>
          <w:bCs w:val="0"/>
          <w:sz w:val="24"/>
          <w:szCs w:val="24"/>
          <w:highlight w:val="none"/>
        </w:rPr>
        <w:t>各应急工作组实行24小时值班制度，做好应急供水的各项准备工作。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②</w:t>
      </w:r>
      <w:r>
        <w:rPr>
          <w:rFonts w:hint="default" w:ascii="Times New Roman" w:hAnsi="Times New Roman" w:eastAsia="宋体" w:cs="Times New Roman"/>
          <w:b w:val="0"/>
          <w:bCs w:val="0"/>
          <w:sz w:val="24"/>
          <w:szCs w:val="24"/>
          <w:highlight w:val="none"/>
        </w:rPr>
        <w:t>供水警戒状态应急措施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a.</w:t>
      </w:r>
      <w:r>
        <w:rPr>
          <w:rFonts w:hint="default" w:ascii="Times New Roman" w:hAnsi="Times New Roman" w:eastAsia="宋体" w:cs="Times New Roman"/>
          <w:b w:val="0"/>
          <w:bCs w:val="0"/>
          <w:sz w:val="24"/>
          <w:szCs w:val="24"/>
          <w:highlight w:val="none"/>
        </w:rPr>
        <w:t>当上游发生突发性污染事故，预测将影响生活饮用水安全时，应急指挥部办公室立即通知相关部门判断事故性质、污染程度以及污染物到达供水厂取水口的时间，并迅速将分析报告报应急指挥部。</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b.</w:t>
      </w:r>
      <w:r>
        <w:rPr>
          <w:rFonts w:hint="default" w:ascii="Times New Roman" w:hAnsi="Times New Roman" w:eastAsia="宋体" w:cs="Times New Roman"/>
          <w:b w:val="0"/>
          <w:bCs w:val="0"/>
          <w:sz w:val="24"/>
          <w:szCs w:val="24"/>
          <w:highlight w:val="none"/>
        </w:rPr>
        <w:t>污染事故处理工作组应动态跟踪监测污染带，随时掌握污染程度和污染带流动情况，迅速判断污染性质，及时制订应急处置方案并组织实施。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c.</w:t>
      </w:r>
      <w:r>
        <w:rPr>
          <w:rFonts w:hint="default" w:ascii="Times New Roman" w:hAnsi="Times New Roman" w:eastAsia="宋体" w:cs="Times New Roman"/>
          <w:b w:val="0"/>
          <w:bCs w:val="0"/>
          <w:sz w:val="24"/>
          <w:szCs w:val="24"/>
          <w:highlight w:val="none"/>
        </w:rPr>
        <w:t>应急供水工作组应指导自来水公司供水给自来水用户储水，并确保自来水厂清水池、加压站清水池升至满水位运行；在停止取水后，及时通知和督促城市建筑、洗车、绿化、娱乐、洗浴等行业限制用水，削减工业用水。</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d.</w:t>
      </w:r>
      <w:r>
        <w:rPr>
          <w:rFonts w:hint="default" w:ascii="Times New Roman" w:hAnsi="Times New Roman" w:eastAsia="宋体" w:cs="Times New Roman"/>
          <w:b w:val="0"/>
          <w:bCs w:val="0"/>
          <w:sz w:val="24"/>
          <w:szCs w:val="24"/>
          <w:highlight w:val="none"/>
        </w:rPr>
        <w:t>宣传工作组通过媒体通知单位和居民及时做好应急储水工作，各单位、家庭利用自备的高位水池、集水池、自备容器等设备储水。</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e.</w:t>
      </w:r>
      <w:r>
        <w:rPr>
          <w:rFonts w:hint="default" w:ascii="Times New Roman" w:hAnsi="Times New Roman" w:eastAsia="宋体" w:cs="Times New Roman"/>
          <w:b w:val="0"/>
          <w:bCs w:val="0"/>
          <w:sz w:val="24"/>
          <w:szCs w:val="24"/>
          <w:highlight w:val="none"/>
        </w:rPr>
        <w:t>应急指挥部办公室和各应急处理工作组确定值班人员，实行24小时值班制度，做好上情下达和下情上报。</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③</w:t>
      </w:r>
      <w:r>
        <w:rPr>
          <w:rFonts w:hint="default" w:ascii="Times New Roman" w:hAnsi="Times New Roman" w:eastAsia="宋体" w:cs="Times New Roman"/>
          <w:b w:val="0"/>
          <w:bCs w:val="0"/>
          <w:sz w:val="24"/>
          <w:szCs w:val="24"/>
          <w:highlight w:val="none"/>
        </w:rPr>
        <w:t>供水紧急状态应急措施。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a.</w:t>
      </w:r>
      <w:r>
        <w:rPr>
          <w:rFonts w:hint="default" w:ascii="Times New Roman" w:hAnsi="Times New Roman" w:eastAsia="宋体" w:cs="Times New Roman"/>
          <w:b w:val="0"/>
          <w:bCs w:val="0"/>
          <w:sz w:val="24"/>
          <w:szCs w:val="24"/>
          <w:highlight w:val="none"/>
        </w:rPr>
        <w:t>在应急指挥部的统一指挥下，各应急供水工作组负责做好下列应急供水工作：关闭水厂取水泵，停止取水和制水；停止城市建筑、洗车、绿化、娱乐、洗浴等行业供水，关闭相关供水阀门，限制工业用水；对取用井水等自备水源单位的供水，由市疾控中心对其水质进行监测，确保饮用水安全；对全县桶装水、矿泉水、纯净水和备用水源进行统一调配，确保居民必要的生活用水；水厂清水池储备水要根据街道给水管网分布情况，在城区内实行分时段、分片区或分社区供水，尽量延长生活用水供水时间，同时，对城郊居民采用洒水车、消防车送水；加强节约用水宣传，提高广大居民节水意识。</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b.</w:t>
      </w:r>
      <w:r>
        <w:rPr>
          <w:rFonts w:hint="default" w:ascii="Times New Roman" w:hAnsi="Times New Roman" w:eastAsia="宋体" w:cs="Times New Roman"/>
          <w:b w:val="0"/>
          <w:bCs w:val="0"/>
          <w:sz w:val="24"/>
          <w:szCs w:val="24"/>
          <w:highlight w:val="none"/>
        </w:rPr>
        <w:t>污染事故应急处理工作组对污染事故及污染带流动情况进行跟踪监测，采取有效措施，对污染物进行应急处置，防止污染物进一步扩散。</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c.</w:t>
      </w:r>
      <w:r>
        <w:rPr>
          <w:rFonts w:hint="default" w:ascii="Times New Roman" w:hAnsi="Times New Roman" w:eastAsia="宋体" w:cs="Times New Roman"/>
          <w:b w:val="0"/>
          <w:bCs w:val="0"/>
          <w:sz w:val="24"/>
          <w:szCs w:val="24"/>
          <w:highlight w:val="none"/>
        </w:rPr>
        <w:t>警戒保卫工作组负责维护污染事故现场及周围的交通秩序，确定安全警戒范围，控制无关人员进入现场，并在事故危及周围群众生命和财产安全时，及时疏散人员和抢救财产。</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d.</w:t>
      </w:r>
      <w:r>
        <w:rPr>
          <w:rFonts w:hint="default" w:ascii="Times New Roman" w:hAnsi="Times New Roman" w:eastAsia="宋体" w:cs="Times New Roman"/>
          <w:b w:val="0"/>
          <w:bCs w:val="0"/>
          <w:sz w:val="24"/>
          <w:szCs w:val="24"/>
          <w:highlight w:val="none"/>
        </w:rPr>
        <w:t>供水监测和医疗救护工作组对各类供水的水质进行严密监测，确保供水水质达到生活饮用水卫生标准；及时组织救治受伤和中毒人员。</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④</w:t>
      </w:r>
      <w:r>
        <w:rPr>
          <w:rFonts w:hint="default" w:ascii="Times New Roman" w:hAnsi="Times New Roman" w:eastAsia="宋体" w:cs="Times New Roman"/>
          <w:b w:val="0"/>
          <w:bCs w:val="0"/>
          <w:sz w:val="24"/>
          <w:szCs w:val="24"/>
          <w:highlight w:val="none"/>
        </w:rPr>
        <w:t>管网水污染特别紧急状态应急措施。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a.</w:t>
      </w:r>
      <w:r>
        <w:rPr>
          <w:rFonts w:hint="default" w:ascii="Times New Roman" w:hAnsi="Times New Roman" w:eastAsia="宋体" w:cs="Times New Roman"/>
          <w:b w:val="0"/>
          <w:bCs w:val="0"/>
          <w:sz w:val="24"/>
          <w:szCs w:val="24"/>
          <w:highlight w:val="none"/>
        </w:rPr>
        <w:t>立即停止取水和制水，并将管网水全部放空。</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b.</w:t>
      </w:r>
      <w:r>
        <w:rPr>
          <w:rFonts w:hint="default" w:ascii="Times New Roman" w:hAnsi="Times New Roman" w:eastAsia="宋体" w:cs="Times New Roman"/>
          <w:b w:val="0"/>
          <w:bCs w:val="0"/>
          <w:sz w:val="24"/>
          <w:szCs w:val="24"/>
          <w:highlight w:val="none"/>
        </w:rPr>
        <w:t>组织开展对受伤、中毒群众的救治工作，必要时请求上级卫生部门给予支持；对已接触污染物的人员进行体检，并采取相应的防毒措施。</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c.</w:t>
      </w:r>
      <w:r>
        <w:rPr>
          <w:rFonts w:hint="default" w:ascii="Times New Roman" w:hAnsi="Times New Roman" w:eastAsia="宋体" w:cs="Times New Roman"/>
          <w:b w:val="0"/>
          <w:bCs w:val="0"/>
          <w:sz w:val="24"/>
          <w:szCs w:val="24"/>
          <w:highlight w:val="none"/>
        </w:rPr>
        <w:t>充分利用各种媒体向社会广泛宣传禁止饮用管网水，缩小污染物的污染面。</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d.</w:t>
      </w:r>
      <w:r>
        <w:rPr>
          <w:rFonts w:hint="default" w:ascii="Times New Roman" w:hAnsi="Times New Roman" w:eastAsia="宋体" w:cs="Times New Roman"/>
          <w:b w:val="0"/>
          <w:bCs w:val="0"/>
          <w:sz w:val="24"/>
          <w:szCs w:val="24"/>
          <w:highlight w:val="none"/>
        </w:rPr>
        <w:t>在恢复供水前，用清水对管网系统进行全面放空清洗，直至无污染残留物后恢复正常供水。</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3</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处理程序</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rPr>
        <w:t>）迅速报告</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接到有关饮用水源地污染事件报告或信息，接报人必须尽可能详细、全面地了解情况，做好笔录，并立即上报应急领导</w:t>
      </w:r>
      <w:r>
        <w:rPr>
          <w:rFonts w:hint="eastAsia" w:eastAsia="宋体" w:cs="Times New Roman"/>
          <w:b w:val="0"/>
          <w:bCs w:val="0"/>
          <w:sz w:val="24"/>
          <w:szCs w:val="24"/>
          <w:highlight w:val="none"/>
          <w:lang w:eastAsia="zh-CN"/>
        </w:rPr>
        <w:t>小</w:t>
      </w:r>
      <w:r>
        <w:rPr>
          <w:rFonts w:hint="default" w:ascii="Times New Roman" w:hAnsi="Times New Roman" w:eastAsia="宋体" w:cs="Times New Roman"/>
          <w:b w:val="0"/>
          <w:bCs w:val="0"/>
          <w:sz w:val="24"/>
          <w:szCs w:val="24"/>
          <w:highlight w:val="none"/>
        </w:rPr>
        <w:t>组。对严重水源污染事故，由领导</w:t>
      </w:r>
      <w:r>
        <w:rPr>
          <w:rFonts w:hint="eastAsia" w:eastAsia="宋体" w:cs="Times New Roman"/>
          <w:b w:val="0"/>
          <w:bCs w:val="0"/>
          <w:sz w:val="24"/>
          <w:szCs w:val="24"/>
          <w:highlight w:val="none"/>
          <w:lang w:eastAsia="zh-CN"/>
        </w:rPr>
        <w:t>小</w:t>
      </w:r>
      <w:r>
        <w:rPr>
          <w:rFonts w:hint="default" w:ascii="Times New Roman" w:hAnsi="Times New Roman" w:eastAsia="宋体" w:cs="Times New Roman"/>
          <w:b w:val="0"/>
          <w:bCs w:val="0"/>
          <w:sz w:val="24"/>
          <w:szCs w:val="24"/>
          <w:highlight w:val="none"/>
        </w:rPr>
        <w:t>组向上级机关报告。供水监测与环境保护部门在接到上级通知或在检查、监测中发现水源污染事故，以及110、120、122、119等公众举报受理中心接到水源污染事故报告时，立即向应急指挥部办公室报告。应急指挥部办公室在接到水源污染事故报告后，立即向指挥长或副指挥长报告，并通知市建设、公安、安监、卫生、消防、供水等相关单位派人赶赴事故现场进行应急处置。</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）赶赴现场</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应急领导</w:t>
      </w:r>
      <w:r>
        <w:rPr>
          <w:rFonts w:hint="eastAsia" w:eastAsia="宋体" w:cs="Times New Roman"/>
          <w:b w:val="0"/>
          <w:bCs w:val="0"/>
          <w:sz w:val="24"/>
          <w:szCs w:val="24"/>
          <w:highlight w:val="none"/>
          <w:lang w:eastAsia="zh-CN"/>
        </w:rPr>
        <w:t>小</w:t>
      </w:r>
      <w:r>
        <w:rPr>
          <w:rFonts w:hint="default" w:ascii="Times New Roman" w:hAnsi="Times New Roman" w:eastAsia="宋体" w:cs="Times New Roman"/>
          <w:b w:val="0"/>
          <w:bCs w:val="0"/>
          <w:sz w:val="24"/>
          <w:szCs w:val="24"/>
          <w:highlight w:val="none"/>
        </w:rPr>
        <w:t>组根据事件性质，决定总体行动方案。应急现场指挥部指挥应急处置组、应急监测组，携带污染事故专用应急处置、监测设备，在最短时间内赶赴现场，启动应急处置监测预案，并保证车辆和必要的物资到位。</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rPr>
        <w:t>）现场控制</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水源突发性污染事故发生后，有关单位在积极抢险救灾的同时，必须保护好事故现场。因抢救伤员、防止事故扩大以及疏散交通等原因需要移动现场物件时，必须作出标志、详细记录和绘制事故现场图，并妥善保存现场重要痕迹、物证等，需拍照、摄像记录的必须经应急指挥部批准。</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应急处置组到达现场后，应立即控制现场，同时划定紧急隔离区线、设置警告标志、制定处置措施，切断污染源，防止污染物扩散; 应急监测组到达现场后，应迅速布点监测，在第一时间确定污染物种类，出具监测数据。</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rPr>
        <w:t>）污染调查</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应急处置组应迅速展开现场调查、取证工作，查明事件原因、初步分析影响程度等，并与安监、消防等单位协调，共同开展现场勘验工作。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rPr>
        <w:t>）污染处置</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处置组要及时救治病人，如有必要进行隔离。采取停水、减压供水、改路供水，将受污染水体疏导排放至安全区域或采取稀释、净化、药剂处理等措施进行处理，通知沿途居民停止取水、用水，启用备用水源，交通管制、疏散人群、保护高危人群等措施，保护公众生命安全与身体健康;同时要采取有效措施，保护饮用水源，消除污染源，如污染企业停产、减产、限产，停止污染物排放，打捞、吸附污染物等。应急监测组要增加指标和频次，提高精度，掌握污染动态。</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）污染警戒区域划定和消息发布</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应急处置组根据污染监测数据和现场调查，向应急现场指挥部提出污染警戒区域(划定禁止取水区域或居住区域)的建议。应急现场指挥组向应急指挥部报告后发布警报决定。</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应急现场指挥组要组织各应急组召开事故处理分析会，将分析结果及时报告应急指挥部。按照国家保密局，原国家环保总局《环境保护工作国家秘密范围》、《环境污染与破坏事故新闻发布管理办法》的有关规定，有关突发环境事件信息，</w:t>
      </w:r>
      <w:r>
        <w:rPr>
          <w:rFonts w:hint="eastAsia" w:eastAsia="宋体" w:cs="Times New Roman"/>
          <w:b w:val="0"/>
          <w:bCs w:val="0"/>
          <w:sz w:val="24"/>
          <w:szCs w:val="24"/>
          <w:highlight w:val="none"/>
          <w:lang w:val="en-US" w:eastAsia="zh-CN"/>
        </w:rPr>
        <w:t>德安县</w:t>
      </w:r>
      <w:r>
        <w:rPr>
          <w:rFonts w:hint="default" w:ascii="Times New Roman" w:hAnsi="Times New Roman" w:eastAsia="宋体" w:cs="Times New Roman"/>
          <w:b w:val="0"/>
          <w:bCs w:val="0"/>
          <w:sz w:val="24"/>
          <w:szCs w:val="24"/>
          <w:highlight w:val="none"/>
        </w:rPr>
        <w:t>政府应急领导</w:t>
      </w:r>
      <w:r>
        <w:rPr>
          <w:rFonts w:hint="eastAsia" w:eastAsia="宋体" w:cs="Times New Roman"/>
          <w:b w:val="0"/>
          <w:bCs w:val="0"/>
          <w:sz w:val="24"/>
          <w:szCs w:val="24"/>
          <w:highlight w:val="none"/>
          <w:lang w:eastAsia="zh-CN"/>
        </w:rPr>
        <w:t>小</w:t>
      </w:r>
      <w:r>
        <w:rPr>
          <w:rFonts w:hint="default" w:ascii="Times New Roman" w:hAnsi="Times New Roman" w:eastAsia="宋体" w:cs="Times New Roman"/>
          <w:b w:val="0"/>
          <w:bCs w:val="0"/>
          <w:sz w:val="24"/>
          <w:szCs w:val="24"/>
          <w:highlight w:val="none"/>
        </w:rPr>
        <w:t>组负责新闻发布，其他相关部门单位及个人未经批准，不得擅自泄露事件信息。</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7</w:t>
      </w:r>
      <w:r>
        <w:rPr>
          <w:rFonts w:hint="default" w:ascii="Times New Roman" w:hAnsi="Times New Roman" w:eastAsia="宋体" w:cs="Times New Roman"/>
          <w:b w:val="0"/>
          <w:bCs w:val="0"/>
          <w:sz w:val="24"/>
          <w:szCs w:val="24"/>
          <w:highlight w:val="none"/>
        </w:rPr>
        <w:t>）污染跟踪</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各应急组要对污染状况进行跟踪调查，根据监测数据和其他有关数据编制分析图表，预测污染迁移强度、速度和影响范围，及时调整对策。每24小时向上级部门报告一次污染事故处理动态和下一步对策(续报)，直至事故污染消失，警报解除。</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8</w:t>
      </w:r>
      <w:r>
        <w:rPr>
          <w:rFonts w:hint="default" w:ascii="Times New Roman" w:hAnsi="Times New Roman" w:eastAsia="宋体" w:cs="Times New Roman"/>
          <w:b w:val="0"/>
          <w:bCs w:val="0"/>
          <w:sz w:val="24"/>
          <w:szCs w:val="24"/>
          <w:highlight w:val="none"/>
        </w:rPr>
        <w:t>）应急中止</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饮用水源地污染事件得到有效控制，应急办公室根据应急监察、应急监测结果做出应急中止报告，报应急领导</w:t>
      </w:r>
      <w:r>
        <w:rPr>
          <w:rFonts w:hint="eastAsia" w:eastAsia="宋体" w:cs="Times New Roman"/>
          <w:b w:val="0"/>
          <w:bCs w:val="0"/>
          <w:sz w:val="24"/>
          <w:szCs w:val="24"/>
          <w:highlight w:val="none"/>
          <w:lang w:eastAsia="zh-CN"/>
        </w:rPr>
        <w:t>小</w:t>
      </w:r>
      <w:r>
        <w:rPr>
          <w:rFonts w:hint="default" w:ascii="Times New Roman" w:hAnsi="Times New Roman" w:eastAsia="宋体" w:cs="Times New Roman"/>
          <w:b w:val="0"/>
          <w:bCs w:val="0"/>
          <w:sz w:val="24"/>
          <w:szCs w:val="24"/>
          <w:highlight w:val="none"/>
        </w:rPr>
        <w:t>组批准后，应急中止。</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4</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应急保障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rPr>
        <w:t>）物资保障。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各应急工作组要预备抢险器具、车辆及应急处理药品等物资，确保应急物资的供应。应急情况下需紧急调用的物资、器材，经应急指挥部批准，按“先处置、后结算”的要求进行抢险、救助，所发生费用在抢险完毕后按相关规定处理。</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）供水保障。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污染水带通过</w:t>
      </w:r>
      <w:r>
        <w:rPr>
          <w:rFonts w:hint="eastAsia" w:eastAsia="宋体" w:cs="Times New Roman"/>
          <w:b w:val="0"/>
          <w:bCs w:val="0"/>
          <w:sz w:val="24"/>
          <w:szCs w:val="24"/>
          <w:highlight w:val="none"/>
          <w:lang w:val="en-US" w:eastAsia="zh-CN"/>
        </w:rPr>
        <w:t>德安</w:t>
      </w:r>
      <w:r>
        <w:rPr>
          <w:rFonts w:hint="eastAsia" w:ascii="Times New Roman" w:hAnsi="Times New Roman" w:eastAsia="宋体" w:cs="Times New Roman"/>
          <w:b w:val="0"/>
          <w:bCs w:val="0"/>
          <w:sz w:val="24"/>
          <w:szCs w:val="24"/>
          <w:highlight w:val="none"/>
          <w:lang w:eastAsia="zh-CN"/>
        </w:rPr>
        <w:t>县</w:t>
      </w:r>
      <w:r>
        <w:rPr>
          <w:rFonts w:hint="default" w:ascii="Times New Roman" w:hAnsi="Times New Roman" w:eastAsia="宋体" w:cs="Times New Roman"/>
          <w:b w:val="0"/>
          <w:bCs w:val="0"/>
          <w:sz w:val="24"/>
          <w:szCs w:val="24"/>
          <w:highlight w:val="none"/>
        </w:rPr>
        <w:t>后，城镇供水监测网通过水源监测确认，经应急指挥部批准后宣布解除紧急状态，市自来水公司立即恢复净水生产，加强水质监测，合格后恢复对外供水，并对城镇主要供水管道进行巡检，保障恢复供水安全；若发生管网水污染特别紧急状态时，在恢复供水时应对管网进行放空清洗，经监测无污染物残留后，方可恢复正常供水。</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rPr>
        <w:t>）技术保障。</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由市环保、卫生、安监等部门建立专家数据库，在发生水源突发性污染事故时，及时制订科学合理的处置方案。</w:t>
      </w:r>
    </w:p>
    <w:p>
      <w:pPr>
        <w:pStyle w:val="69"/>
        <w:adjustRightInd w:val="0"/>
        <w:snapToGrid w:val="0"/>
        <w:spacing w:line="360" w:lineRule="auto"/>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根据</w:t>
      </w:r>
      <w:r>
        <w:rPr>
          <w:rFonts w:hint="eastAsia" w:eastAsia="宋体" w:cs="Times New Roman"/>
          <w:b w:val="0"/>
          <w:bCs w:val="0"/>
          <w:sz w:val="24"/>
          <w:szCs w:val="24"/>
          <w:highlight w:val="none"/>
          <w:lang w:val="en-US" w:eastAsia="zh-CN"/>
        </w:rPr>
        <w:t>德安</w:t>
      </w:r>
      <w:r>
        <w:rPr>
          <w:rFonts w:hint="default" w:ascii="Times New Roman" w:hAnsi="Times New Roman" w:eastAsia="宋体" w:cs="Times New Roman"/>
          <w:b w:val="0"/>
          <w:bCs w:val="0"/>
          <w:sz w:val="24"/>
          <w:szCs w:val="24"/>
          <w:highlight w:val="none"/>
        </w:rPr>
        <w:t>县水资源规划相关成果，针对连续干旱年、特殊干旱年、突发水污染事故及紧急状态等编制</w:t>
      </w:r>
      <w:r>
        <w:rPr>
          <w:rFonts w:hint="eastAsia" w:eastAsia="宋体" w:cs="Times New Roman"/>
          <w:b w:val="0"/>
          <w:bCs w:val="0"/>
          <w:sz w:val="24"/>
          <w:szCs w:val="24"/>
          <w:highlight w:val="none"/>
          <w:lang w:val="en-US" w:eastAsia="zh-CN"/>
        </w:rPr>
        <w:t>德安</w:t>
      </w:r>
      <w:r>
        <w:rPr>
          <w:rFonts w:hint="default" w:ascii="Times New Roman" w:hAnsi="Times New Roman" w:eastAsia="宋体" w:cs="Times New Roman"/>
          <w:b w:val="0"/>
          <w:bCs w:val="0"/>
          <w:sz w:val="24"/>
          <w:szCs w:val="24"/>
          <w:highlight w:val="none"/>
        </w:rPr>
        <w:t>县饮用水水源地预警和应急预案。</w:t>
      </w:r>
    </w:p>
    <w:p>
      <w:pPr>
        <w:pStyle w:val="69"/>
        <w:adjustRightInd w:val="0"/>
        <w:snapToGrid w:val="0"/>
        <w:spacing w:line="360" w:lineRule="auto"/>
        <w:ind w:firstLine="446" w:firstLineChars="186"/>
        <w:rPr>
          <w:rFonts w:hint="eastAsia" w:ascii="宋体" w:hAnsi="宋体" w:eastAsia="宋体" w:cs="宋体"/>
          <w:kern w:val="2"/>
          <w:sz w:val="30"/>
          <w:szCs w:val="30"/>
        </w:rPr>
      </w:pPr>
      <w:r>
        <w:rPr>
          <w:rFonts w:hint="default" w:ascii="Times New Roman" w:hAnsi="Times New Roman" w:eastAsia="宋体" w:cs="Times New Roman"/>
          <w:b w:val="0"/>
          <w:bCs w:val="0"/>
          <w:sz w:val="24"/>
          <w:szCs w:val="24"/>
          <w:highlight w:val="none"/>
          <w:lang w:val="en-US" w:eastAsia="zh-CN"/>
        </w:rPr>
        <w:t>水</w:t>
      </w:r>
      <w:r>
        <w:rPr>
          <w:rFonts w:hint="default" w:ascii="Times New Roman" w:hAnsi="Times New Roman" w:eastAsia="宋体" w:cs="Times New Roman"/>
          <w:b w:val="0"/>
          <w:bCs w:val="0"/>
          <w:kern w:val="0"/>
          <w:sz w:val="24"/>
          <w:szCs w:val="24"/>
          <w:highlight w:val="none"/>
          <w:lang w:val="en-US" w:eastAsia="zh-CN" w:bidi="ar-SA"/>
        </w:rPr>
        <w:t>行政主管部门和供水企业，要从政府和企业两个层面制定</w:t>
      </w:r>
      <w:r>
        <w:rPr>
          <w:rFonts w:hint="eastAsia" w:eastAsia="宋体" w:cs="Times New Roman"/>
          <w:b w:val="0"/>
          <w:bCs w:val="0"/>
          <w:kern w:val="0"/>
          <w:sz w:val="24"/>
          <w:szCs w:val="24"/>
          <w:highlight w:val="none"/>
          <w:lang w:val="en-US" w:eastAsia="zh-CN" w:bidi="ar-SA"/>
        </w:rPr>
        <w:t>德安县</w:t>
      </w:r>
      <w:r>
        <w:rPr>
          <w:rFonts w:hint="default" w:ascii="Times New Roman" w:hAnsi="Times New Roman" w:eastAsia="宋体" w:cs="Times New Roman"/>
          <w:b w:val="0"/>
          <w:bCs w:val="0"/>
          <w:kern w:val="0"/>
          <w:sz w:val="24"/>
          <w:szCs w:val="24"/>
          <w:highlight w:val="none"/>
          <w:lang w:val="en-US" w:eastAsia="zh-CN" w:bidi="ar-SA"/>
        </w:rPr>
        <w:t>饮用水水源地预警和应急预案，并将饮用水水源地预警和应急预案向社会公告。建立饮用水水质急处理及快速反应机制，组建应急处理队伍，配备必要的应急处理装备，以增强应急能力和控制事故的能力，制定在饮用水水源水质发生异常、威胁供水安全等紧急情况下的应急措施。另外，要重点研究有机物、农药、重金属和致病微生物等四大类突发性污染事故的应对措施，提高饮用水安全的技术保障能力。各供水企业要完善水质自检制度，提高装备水平和人员素质，按照规定的采样地点、采样频率和项目进行水样的检测。</w:t>
      </w:r>
    </w:p>
    <w:p>
      <w:pPr>
        <w:pStyle w:val="4"/>
        <w:keepNext/>
        <w:keepLines/>
        <w:pageBreakBefore w:val="0"/>
        <w:widowControl w:val="0"/>
        <w:kinsoku/>
        <w:wordWrap/>
        <w:overflowPunct/>
        <w:topLinePunct w:val="0"/>
        <w:autoSpaceDE/>
        <w:autoSpaceDN/>
        <w:bidi w:val="0"/>
        <w:adjustRightInd/>
        <w:snapToGrid/>
        <w:ind w:left="0" w:firstLine="561"/>
        <w:jc w:val="both"/>
        <w:textAlignment w:val="auto"/>
        <w:rPr>
          <w:rFonts w:hint="eastAsia" w:ascii="宋体" w:hAnsi="宋体" w:eastAsia="宋体" w:cs="宋体"/>
          <w:kern w:val="2"/>
          <w:sz w:val="30"/>
          <w:szCs w:val="30"/>
        </w:rPr>
      </w:pPr>
      <w:r>
        <w:rPr>
          <w:rFonts w:hint="eastAsia" w:ascii="Times New Roman" w:hAnsi="Times New Roman" w:eastAsia="仿宋"/>
          <w:kern w:val="2"/>
          <w:sz w:val="28"/>
          <w:szCs w:val="28"/>
        </w:rPr>
        <w:br w:type="page"/>
      </w:r>
      <w:bookmarkStart w:id="99" w:name="_Toc15478"/>
      <w:r>
        <w:rPr>
          <w:rFonts w:hint="eastAsia" w:ascii="宋体" w:hAnsi="宋体" w:eastAsia="宋体" w:cs="宋体"/>
          <w:b/>
          <w:bCs/>
          <w:kern w:val="2"/>
          <w:sz w:val="30"/>
          <w:szCs w:val="30"/>
        </w:rPr>
        <w:t>创新工程管护机制</w:t>
      </w:r>
      <w:bookmarkEnd w:id="97"/>
      <w:bookmarkEnd w:id="98"/>
      <w:bookmarkEnd w:id="99"/>
    </w:p>
    <w:p>
      <w:pPr>
        <w:ind w:firstLine="480" w:firstLineChars="200"/>
        <w:rPr>
          <w:rFonts w:hint="eastAsia" w:ascii="宋体" w:hAnsi="宋体"/>
          <w:sz w:val="24"/>
        </w:rPr>
      </w:pPr>
      <w:bookmarkStart w:id="100" w:name="_Toc15607"/>
      <w:bookmarkStart w:id="101" w:name="_Toc15694"/>
      <w:r>
        <w:rPr>
          <w:rFonts w:hint="eastAsia" w:ascii="宋体" w:hAnsi="宋体"/>
          <w:sz w:val="24"/>
          <w:lang w:val="zh-CN"/>
        </w:rPr>
        <w:t>严格落实“先建机制、后建工程”的要求，集中供水工程要建立合理水价和水费收缴机制，落实管理管护主体。</w:t>
      </w:r>
    </w:p>
    <w:p>
      <w:pPr>
        <w:pStyle w:val="5"/>
        <w:adjustRightInd/>
        <w:snapToGrid/>
        <w:spacing w:line="360" w:lineRule="auto"/>
        <w:ind w:firstLine="562" w:firstLineChars="200"/>
        <w:rPr>
          <w:rFonts w:hint="eastAsia" w:ascii="宋体" w:hAnsi="宋体" w:eastAsia="宋体" w:cs="宋体"/>
          <w:b/>
          <w:bCs/>
          <w:sz w:val="28"/>
          <w:szCs w:val="28"/>
        </w:rPr>
      </w:pPr>
      <w:bookmarkStart w:id="102" w:name="_Toc22047"/>
      <w:r>
        <w:rPr>
          <w:rFonts w:hint="eastAsia" w:ascii="宋体" w:hAnsi="宋体" w:eastAsia="宋体" w:cs="宋体"/>
          <w:b/>
          <w:bCs/>
          <w:sz w:val="28"/>
          <w:szCs w:val="28"/>
        </w:rPr>
        <w:t>水价机制建设</w:t>
      </w:r>
      <w:bookmarkEnd w:id="102"/>
    </w:p>
    <w:p>
      <w:pPr>
        <w:pStyle w:val="6"/>
        <w:rPr>
          <w:rFonts w:hint="eastAsia"/>
          <w:sz w:val="24"/>
        </w:rPr>
      </w:pPr>
      <w:r>
        <w:rPr>
          <w:rFonts w:hint="eastAsia" w:ascii="宋体" w:hAnsi="宋体"/>
          <w:sz w:val="24"/>
          <w:lang w:val="en-US" w:eastAsia="zh-CN"/>
        </w:rPr>
        <w:t>城乡供水一体化</w:t>
      </w:r>
      <w:r>
        <w:rPr>
          <w:rFonts w:hint="eastAsia" w:ascii="宋体" w:hAnsi="宋体"/>
          <w:sz w:val="24"/>
        </w:rPr>
        <w:t>工程</w:t>
      </w:r>
      <w:r>
        <w:rPr>
          <w:rFonts w:hint="eastAsia"/>
          <w:sz w:val="24"/>
        </w:rPr>
        <w:t>水价指定的原则</w:t>
      </w:r>
    </w:p>
    <w:p>
      <w:pPr>
        <w:ind w:firstLine="480" w:firstLineChars="200"/>
        <w:rPr>
          <w:rFonts w:hint="eastAsia" w:ascii="宋体" w:hAnsi="宋体"/>
          <w:sz w:val="24"/>
        </w:rPr>
      </w:pPr>
      <w:r>
        <w:rPr>
          <w:rFonts w:hint="eastAsia" w:ascii="宋体" w:hAnsi="宋体"/>
          <w:sz w:val="24"/>
        </w:rPr>
        <w:t>要保证</w:t>
      </w:r>
      <w:r>
        <w:rPr>
          <w:rFonts w:hint="eastAsia" w:ascii="宋体" w:hAnsi="宋体"/>
          <w:sz w:val="24"/>
          <w:lang w:val="en-US" w:eastAsia="zh-CN"/>
        </w:rPr>
        <w:t>城乡供水一体化</w:t>
      </w:r>
      <w:r>
        <w:rPr>
          <w:rFonts w:hint="eastAsia" w:ascii="宋体" w:hAnsi="宋体"/>
          <w:sz w:val="24"/>
        </w:rPr>
        <w:t>工程的可持续运行必须对</w:t>
      </w:r>
      <w:r>
        <w:rPr>
          <w:rFonts w:hint="eastAsia" w:ascii="宋体" w:hAnsi="宋体"/>
          <w:sz w:val="24"/>
          <w:lang w:val="en-US" w:eastAsia="zh-CN"/>
        </w:rPr>
        <w:t>自来水</w:t>
      </w:r>
      <w:r>
        <w:rPr>
          <w:rFonts w:hint="eastAsia" w:ascii="宋体" w:hAnsi="宋体"/>
          <w:sz w:val="24"/>
        </w:rPr>
        <w:t>的水价进行合理分析以及指定实施。而要保证水价的合理性就需要充分考虑到用水单位以及用水户的实际承受能力，并结合工程的运行需要以及地方政府在财政上的支持，客观评价农村饮水工程的投入成本和水价构成，水价的指定需要遵循两个原则，公平性原则和效率性原则。</w:t>
      </w:r>
    </w:p>
    <w:p>
      <w:pPr>
        <w:ind w:firstLine="480" w:firstLineChars="200"/>
        <w:rPr>
          <w:rFonts w:hint="eastAsia" w:ascii="宋体" w:hAnsi="宋体"/>
          <w:sz w:val="24"/>
        </w:rPr>
      </w:pPr>
      <w:r>
        <w:rPr>
          <w:rFonts w:hint="eastAsia" w:ascii="宋体" w:hAnsi="宋体"/>
          <w:sz w:val="24"/>
        </w:rPr>
        <w:t>公平性原则，安全饮水是每个民众的基本权利，这也是农村饮水工程存在的根本目的。工程水价在指定过程中要始终遵循公平性原则，充分考虑到农民群众的经济条件、心理和经济承受能力，对水价的承受能力，水价是时候可能造成的影响等，必要时可以采取水费补贴等补救措施，另外，对于供水单位也要实施公平原则，虽然供水工程属于公益性性质，获取的收益较低，但</w:t>
      </w:r>
      <w:r>
        <w:rPr>
          <w:rFonts w:hint="eastAsia" w:ascii="宋体" w:hAnsi="宋体"/>
          <w:sz w:val="24"/>
          <w:lang w:eastAsia="zh-CN"/>
        </w:rPr>
        <w:t>涉及</w:t>
      </w:r>
      <w:r>
        <w:rPr>
          <w:rFonts w:hint="eastAsia" w:ascii="宋体" w:hAnsi="宋体"/>
          <w:sz w:val="24"/>
        </w:rPr>
        <w:t>公平性原则，也需要顾及到供水单位的经济承受能力，实现有偿供水。</w:t>
      </w:r>
    </w:p>
    <w:p>
      <w:pPr>
        <w:ind w:firstLine="480" w:firstLineChars="200"/>
        <w:rPr>
          <w:rFonts w:hint="eastAsia" w:ascii="宋体" w:hAnsi="宋体"/>
          <w:sz w:val="24"/>
        </w:rPr>
      </w:pPr>
      <w:r>
        <w:rPr>
          <w:rFonts w:hint="eastAsia" w:ascii="宋体" w:hAnsi="宋体"/>
          <w:sz w:val="24"/>
        </w:rPr>
        <w:t>效率性原则，效率性原则包括两层意思，水资源利用效率以及工程管理效率。水资源短缺是我国农村一直存在的问题，因此要提倡水资源的高效利用。农村饮水工程的水价制定要遵循效率性原则，水的价值要在水价的制定当中有所体现，通过计量水价，额定用水的等方式来促进节约用水以及高效用水。另外，农村饮水工程的运行和管理也需要高效率，所以要完善相关的管理制度，提高管理人员业务素质，提高农村饮水工程的管理效率，控制工程运行管理成本，减少不合理的开支，提高工程管理水平。</w:t>
      </w:r>
    </w:p>
    <w:p>
      <w:pPr>
        <w:pStyle w:val="6"/>
        <w:rPr>
          <w:rFonts w:hint="eastAsia"/>
          <w:sz w:val="24"/>
        </w:rPr>
      </w:pPr>
      <w:r>
        <w:rPr>
          <w:rFonts w:hint="eastAsia"/>
          <w:sz w:val="24"/>
        </w:rPr>
        <w:t>水价合理性分析</w:t>
      </w:r>
    </w:p>
    <w:p>
      <w:pPr>
        <w:ind w:firstLine="480" w:firstLineChars="200"/>
        <w:rPr>
          <w:rFonts w:hint="eastAsia" w:ascii="宋体" w:hAnsi="宋体"/>
          <w:sz w:val="24"/>
        </w:rPr>
      </w:pPr>
      <w:r>
        <w:rPr>
          <w:rFonts w:hint="eastAsia" w:ascii="宋体" w:hAnsi="宋体"/>
          <w:sz w:val="24"/>
        </w:rPr>
        <w:t>1、水价的合理性和供水成本</w:t>
      </w:r>
    </w:p>
    <w:p>
      <w:pPr>
        <w:ind w:firstLine="480" w:firstLineChars="200"/>
        <w:rPr>
          <w:rFonts w:hint="eastAsia" w:ascii="宋体" w:hAnsi="宋体"/>
          <w:sz w:val="24"/>
        </w:rPr>
      </w:pPr>
      <w:r>
        <w:rPr>
          <w:rFonts w:hint="eastAsia" w:ascii="宋体" w:hAnsi="宋体"/>
          <w:sz w:val="24"/>
        </w:rPr>
        <w:t>为了提高水资源的利用效率，我国水利工程水价相关管理制度把水利工程水价纳入到商品价格范畴。考虑到我国农村的经济条件，对农业用水成本的核算不计税收和利润，而且因为</w:t>
      </w:r>
      <w:r>
        <w:rPr>
          <w:rFonts w:hint="eastAsia" w:ascii="宋体" w:hAnsi="宋体"/>
          <w:sz w:val="24"/>
          <w:lang w:val="en-US" w:eastAsia="zh-CN"/>
        </w:rPr>
        <w:t>农村供水工程</w:t>
      </w:r>
      <w:r>
        <w:rPr>
          <w:rFonts w:hint="eastAsia" w:ascii="宋体" w:hAnsi="宋体"/>
          <w:sz w:val="24"/>
        </w:rPr>
        <w:t>自身的公益性特点，对成本水价的核算不计税收和利润。对于经济条件特别困难的农村地区，地方政府要给予一定财政支持，对于承担工业生产供水的工程可以考虑税收和利润，另外，供水成本对水价的确定也有重要影响作用，供水成本的构成和计算合理性直接影响着水价的合理性。</w:t>
      </w:r>
    </w:p>
    <w:p>
      <w:pPr>
        <w:ind w:firstLine="480" w:firstLineChars="200"/>
        <w:rPr>
          <w:rFonts w:hint="eastAsia" w:ascii="宋体" w:hAnsi="宋体"/>
          <w:sz w:val="24"/>
        </w:rPr>
      </w:pPr>
      <w:r>
        <w:rPr>
          <w:rFonts w:hint="eastAsia" w:ascii="宋体" w:hAnsi="宋体"/>
          <w:sz w:val="24"/>
        </w:rPr>
        <w:t>一般情况下，农村</w:t>
      </w:r>
      <w:r>
        <w:rPr>
          <w:rFonts w:hint="eastAsia" w:ascii="宋体" w:hAnsi="宋体"/>
          <w:sz w:val="24"/>
          <w:lang w:val="en-US" w:eastAsia="zh-CN"/>
        </w:rPr>
        <w:t>供水</w:t>
      </w:r>
      <w:r>
        <w:rPr>
          <w:rFonts w:hint="eastAsia" w:ascii="宋体" w:hAnsi="宋体"/>
          <w:sz w:val="24"/>
        </w:rPr>
        <w:t>工程的供水成本需要考虑到的因素重要有电费，员工工资，办公奋勇，工程设备维修费用，水质检测费用以及消毒费用等等。如今在饮水工程的实际运行情况分析，供水成本的构成需要重点考虑工程用地、电费、税收、设备维修和折旧费用以及水质检测费用。</w:t>
      </w:r>
    </w:p>
    <w:p>
      <w:pPr>
        <w:ind w:firstLine="480" w:firstLineChars="200"/>
        <w:rPr>
          <w:rFonts w:hint="eastAsia" w:ascii="宋体" w:hAnsi="宋体"/>
          <w:sz w:val="24"/>
        </w:rPr>
      </w:pPr>
      <w:r>
        <w:rPr>
          <w:rFonts w:hint="eastAsia" w:ascii="宋体" w:hAnsi="宋体"/>
          <w:sz w:val="24"/>
        </w:rPr>
        <w:t>2、供需双方的承受能力对水价的影响</w:t>
      </w:r>
    </w:p>
    <w:p>
      <w:pPr>
        <w:ind w:firstLine="480" w:firstLineChars="200"/>
        <w:rPr>
          <w:rFonts w:hint="eastAsia" w:ascii="宋体" w:hAnsi="宋体"/>
          <w:sz w:val="24"/>
        </w:rPr>
      </w:pPr>
      <w:r>
        <w:rPr>
          <w:rFonts w:hint="eastAsia" w:ascii="宋体" w:hAnsi="宋体"/>
          <w:sz w:val="24"/>
          <w:lang w:val="en-US" w:eastAsia="zh-CN"/>
        </w:rPr>
        <w:t>城乡供水一体化</w:t>
      </w:r>
      <w:r>
        <w:rPr>
          <w:rFonts w:hint="eastAsia" w:ascii="宋体" w:hAnsi="宋体"/>
          <w:sz w:val="24"/>
        </w:rPr>
        <w:t>工程水价的指定要以公平性和效率性为基本原则，综合考虑到供需双方的承受能力，在供需双方利益尽可能大道均衡的条件下制定水价。</w:t>
      </w:r>
    </w:p>
    <w:p>
      <w:pPr>
        <w:ind w:firstLine="480" w:firstLineChars="200"/>
        <w:rPr>
          <w:rFonts w:hint="eastAsia" w:ascii="宋体" w:hAnsi="宋体"/>
          <w:sz w:val="24"/>
        </w:rPr>
      </w:pPr>
      <w:r>
        <w:rPr>
          <w:rFonts w:hint="eastAsia" w:ascii="宋体" w:hAnsi="宋体"/>
          <w:sz w:val="24"/>
        </w:rPr>
        <w:t>供水单位的承受能力对水价的影响，农村饮水工程的公益性特点决定了其经营和服务不能以营利为目的，但从另外的角度来讲，饮水工程的正常运行和管理也需要一定资金投入的，所以如果水价标准较低可能饮水工程入不敷出，影响饮水工程的正常运行，进而危及到农村群众的基本生活需求。我国农村地区分布比较分散，饮水工程规模小但投资成本大，从整体情况看，目前的水价不超过农村饮水安全工程成本的三分之一，总之，水费收入是农村饮水安全工程正常运行的基本保障，水价的确定需要考虑到供水单位的承受能力。</w:t>
      </w:r>
    </w:p>
    <w:p>
      <w:pPr>
        <w:ind w:firstLine="480" w:firstLineChars="200"/>
        <w:rPr>
          <w:rFonts w:hint="eastAsia" w:ascii="宋体" w:hAnsi="宋体"/>
          <w:sz w:val="24"/>
        </w:rPr>
      </w:pPr>
      <w:r>
        <w:rPr>
          <w:rFonts w:hint="eastAsia" w:ascii="宋体" w:hAnsi="宋体"/>
          <w:sz w:val="24"/>
        </w:rPr>
        <w:t>农民群众的承受能力，从市场经济学理论分析，商品的供需双方共同决定着商品的价格，所以农村饮水安全工程的水价不仅要考虑到供方的成本和承受能力，同时也需要从用户的角度来衡量。所以水价的制定，实施以及调整需要充分考虑农民群众的实际承受能力。</w:t>
      </w:r>
    </w:p>
    <w:p>
      <w:pPr>
        <w:pStyle w:val="6"/>
        <w:rPr>
          <w:rFonts w:hint="eastAsia"/>
          <w:sz w:val="24"/>
        </w:rPr>
      </w:pPr>
      <w:r>
        <w:rPr>
          <w:rFonts w:hint="eastAsia"/>
          <w:sz w:val="24"/>
        </w:rPr>
        <w:t>水价的核定</w:t>
      </w:r>
    </w:p>
    <w:p>
      <w:pPr>
        <w:ind w:firstLine="480" w:firstLineChars="200"/>
        <w:rPr>
          <w:rFonts w:hint="eastAsia" w:ascii="宋体" w:hAnsi="宋体"/>
          <w:sz w:val="24"/>
        </w:rPr>
      </w:pPr>
      <w:r>
        <w:rPr>
          <w:rFonts w:hint="eastAsia" w:ascii="宋体" w:hAnsi="宋体"/>
          <w:sz w:val="24"/>
        </w:rPr>
        <w:t>在水价的核定上，应根据工程性质、所在地的经济条件等因素，建立起合理的水价形成机制，根据工程类型合理确定水价，集中供水工程的水价要由物价主管部门核定，公益性供水工程采取“基本水量和最高水量”相结合的办法，规定受益区群众没人每月的最低用水量，低于标准的仍按最低用水量收取费用，保证工程的最低运行成本，超过最高用水量的用户实行累进加价的制度。准公益性供水工程和盈利性供水工程，采取协议水价和市场化定价。</w:t>
      </w:r>
    </w:p>
    <w:p>
      <w:pPr>
        <w:pStyle w:val="6"/>
        <w:rPr>
          <w:rFonts w:hint="eastAsia"/>
          <w:sz w:val="24"/>
        </w:rPr>
      </w:pPr>
      <w:r>
        <w:rPr>
          <w:rFonts w:hint="eastAsia"/>
          <w:sz w:val="24"/>
        </w:rPr>
        <w:t>收费机制</w:t>
      </w:r>
    </w:p>
    <w:p>
      <w:pPr>
        <w:ind w:firstLine="480" w:firstLineChars="200"/>
        <w:rPr>
          <w:rFonts w:hint="eastAsia" w:ascii="宋体" w:hAnsi="宋体"/>
          <w:sz w:val="24"/>
        </w:rPr>
      </w:pPr>
      <w:r>
        <w:rPr>
          <w:rFonts w:hint="eastAsia" w:ascii="宋体" w:hAnsi="宋体"/>
          <w:sz w:val="24"/>
        </w:rPr>
        <w:t>在</w:t>
      </w:r>
      <w:r>
        <w:rPr>
          <w:rFonts w:hint="eastAsia" w:ascii="宋体" w:hAnsi="宋体"/>
          <w:sz w:val="24"/>
          <w:lang w:val="en-US" w:eastAsia="zh-CN"/>
        </w:rPr>
        <w:t>城乡供水一体化</w:t>
      </w:r>
      <w:r>
        <w:rPr>
          <w:rFonts w:hint="eastAsia" w:ascii="宋体" w:hAnsi="宋体"/>
          <w:sz w:val="24"/>
        </w:rPr>
        <w:t>工程的建设与管理中，应注重新技术在农村饮水工程中的应用，在工程规划建设开始，就应把工程管理定位在科技含量高，管理现代化的水平上，引入变频恒压供水技术，远程自动化控制系统等先进技术，降低工程能耗，减少水量损失，提高农村</w:t>
      </w:r>
      <w:r>
        <w:rPr>
          <w:rFonts w:hint="eastAsia" w:ascii="宋体" w:hAnsi="宋体"/>
          <w:sz w:val="24"/>
          <w:lang w:val="en-US" w:eastAsia="zh-CN"/>
        </w:rPr>
        <w:t>供水</w:t>
      </w:r>
      <w:r>
        <w:rPr>
          <w:rFonts w:hint="eastAsia" w:ascii="宋体" w:hAnsi="宋体"/>
          <w:sz w:val="24"/>
        </w:rPr>
        <w:t>工程运行效益和效率。</w:t>
      </w:r>
    </w:p>
    <w:p>
      <w:pPr>
        <w:ind w:firstLine="480" w:firstLineChars="200"/>
        <w:rPr>
          <w:rFonts w:hint="eastAsia" w:ascii="宋体" w:hAnsi="宋体"/>
          <w:sz w:val="24"/>
        </w:rPr>
      </w:pPr>
      <w:r>
        <w:rPr>
          <w:rFonts w:hint="eastAsia" w:ascii="宋体" w:hAnsi="宋体"/>
          <w:sz w:val="24"/>
        </w:rPr>
        <w:t>针对跨区域调水工程水源距离远、管线跨度大、供水点情况不一的实际情况，经济条件较好的地方可引进国内外先进的变频提水设施，智能IC卡预付费系统、无线查表系统和触摸屏水费查询系统。通过安装IC卡水表，主支管道基本实现智能化管理，交费供水、欠费停水，能够实现传统关税设施向现代关税设施的转变，增强用户的交费意识，提高水费的回收率。通过新技术新设备的应用，能够充分发挥先进管理手段带来的便捷和高效，实现工程管理等现代化。</w:t>
      </w:r>
    </w:p>
    <w:p>
      <w:pPr>
        <w:pStyle w:val="6"/>
        <w:rPr>
          <w:rFonts w:hint="eastAsia"/>
          <w:sz w:val="24"/>
        </w:rPr>
      </w:pPr>
      <w:r>
        <w:rPr>
          <w:rFonts w:hint="eastAsia"/>
          <w:sz w:val="24"/>
        </w:rPr>
        <w:t>用水户参与</w:t>
      </w:r>
    </w:p>
    <w:p>
      <w:pPr>
        <w:ind w:firstLine="480" w:firstLineChars="200"/>
        <w:rPr>
          <w:rFonts w:hint="eastAsia" w:ascii="宋体" w:hAnsi="宋体" w:eastAsia="宋体" w:cs="宋体"/>
          <w:sz w:val="24"/>
        </w:rPr>
      </w:pPr>
      <w:r>
        <w:rPr>
          <w:rFonts w:hint="eastAsia" w:ascii="宋体" w:hAnsi="宋体"/>
          <w:sz w:val="24"/>
          <w:lang w:val="en-US" w:eastAsia="zh-CN"/>
        </w:rPr>
        <w:t>城乡供水一体化</w:t>
      </w:r>
      <w:r>
        <w:rPr>
          <w:rFonts w:ascii="宋体" w:hAnsi="宋体"/>
          <w:sz w:val="24"/>
        </w:rPr>
        <w:t>工程</w:t>
      </w:r>
      <w:r>
        <w:rPr>
          <w:rFonts w:hint="eastAsia" w:ascii="宋体" w:hAnsi="宋体" w:eastAsia="宋体" w:cs="宋体"/>
          <w:sz w:val="24"/>
        </w:rPr>
        <w:t>水价的承受主体是农民群众，所以水价的合理确定离不开农民用户的认可和支持。以往关于水价的自上而下的行政性政策已经不能满足实际需要。如今自下而上的参与政策被广泛认可并推广应用，用户的态度是</w:t>
      </w:r>
      <w:r>
        <w:rPr>
          <w:rFonts w:hint="eastAsia" w:ascii="宋体" w:hAnsi="宋体"/>
          <w:sz w:val="24"/>
          <w:lang w:val="en-US" w:eastAsia="zh-CN"/>
        </w:rPr>
        <w:t>城乡供水一体化</w:t>
      </w:r>
      <w:r>
        <w:rPr>
          <w:rFonts w:ascii="宋体" w:hAnsi="宋体"/>
          <w:sz w:val="24"/>
        </w:rPr>
        <w:t>工程</w:t>
      </w:r>
      <w:r>
        <w:rPr>
          <w:rFonts w:hint="eastAsia" w:ascii="宋体" w:hAnsi="宋体" w:eastAsia="宋体" w:cs="宋体"/>
          <w:sz w:val="24"/>
        </w:rPr>
        <w:t>水价确定以及实施的基础，对农村用户的意见和建议要给予重视、构建用户参与的民主水价指定机制。</w:t>
      </w:r>
    </w:p>
    <w:p>
      <w:pPr>
        <w:pStyle w:val="5"/>
        <w:adjustRightInd/>
        <w:snapToGrid/>
        <w:spacing w:line="360" w:lineRule="auto"/>
        <w:ind w:firstLine="562" w:firstLineChars="200"/>
        <w:rPr>
          <w:rFonts w:hint="eastAsia" w:ascii="宋体" w:hAnsi="宋体" w:eastAsia="宋体" w:cs="宋体"/>
          <w:b/>
          <w:bCs/>
          <w:sz w:val="28"/>
          <w:szCs w:val="28"/>
          <w:lang w:val="en-US" w:eastAsia="zh-CN"/>
        </w:rPr>
      </w:pPr>
      <w:bookmarkStart w:id="103" w:name="_Toc14500"/>
      <w:r>
        <w:rPr>
          <w:rFonts w:hint="eastAsia" w:ascii="宋体" w:hAnsi="宋体" w:eastAsia="宋体" w:cs="宋体"/>
          <w:b/>
          <w:bCs/>
          <w:sz w:val="28"/>
          <w:szCs w:val="28"/>
          <w:lang w:val="en-US" w:eastAsia="zh-CN"/>
        </w:rPr>
        <w:t>加快构建城乡供水一体化模式</w:t>
      </w:r>
      <w:bookmarkEnd w:id="103"/>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城乡供水一体化，需统一规划、统筹建设；以城市供水管网延伸和规模化供水工程为主，小型集中式供水工程为辅，分散式供水工程为补充的供水工程体系，实现全民覆盖，城乡共享优质供水服务的供水保障模式。</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人民政府需加强对农村供水工作的领导，将农村供水纳入国民经济和社会发展规划，并将农村供水工作经费纳入本级财政预算，促进农村供水事业发展，逐步实现城乡供水一体化。</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水利局为</w:t>
      </w:r>
      <w:r>
        <w:rPr>
          <w:rFonts w:hint="eastAsia" w:eastAsia="宋体"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城乡供水一体化的主管部门，负责本行政区域内农村供水的监督管理工作。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发展改革、财政、自然资源、生态环境、住房和城乡建设、农业农村、卫生健康、应急管理、市场监督管理等部门和税务机关按照职责分工做好农村供水相关工作。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政府办：统筹协调城乡供水一体化项目有关工作；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发改委：负责工程项目审批、立项、水价测算、审批与监管等工作，协助做好中央资金预算，农村饮水安全工程项目申报、国家省市有关资金申请等工作；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财政局：负责筹集县级财政负担的项目及运营经费，协助争取中央、省级财政专项补助资金，按照规定拨付监管专项资金。</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自然资源局：负责建设用地的指标调整和审批等工作；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住建局：负责乡镇生活污水，垃圾及村庄生活垃圾等处理设施建设指导工作，进一步加强饮用水水源地范围内生活垃圾处理整改工作；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交通运输局，</w:t>
      </w: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公路局：负责供水管网建设与道路相关衔接和协助办理报批手续等工作；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卫健局：负责供水水质检测和卫生监督等工作；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林业局：负责工程涉及林木采伐指标、林业用地审批工作；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城管局：负责简化城市供水管道建设和改造挖掘道路报批手续，采取报备施工制度；</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生态环境局：负责和协调环评方案审批，水源地水质监测，保护和水污染防治等工作；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乡（镇）：负责各自辖区内的项目实施，主要负责供水设施建设涉及的征（临时）地、拆迁、管道通道、施工道路、供水入户等各项保障工作及社会稳定工作。</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江西省水利投资开发集团有限公司与</w:t>
      </w: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人民政府签订的《关于推进</w:t>
      </w: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城乡供水一体化项目开发合作备忘录》，为</w:t>
      </w: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城乡供水一体化的实施主体，负责推进城乡供水一体化工程的投资、建设和管理，通过延伸服务切实做到统筹建设、统一服务。</w:t>
      </w:r>
    </w:p>
    <w:p>
      <w:pPr>
        <w:pStyle w:val="69"/>
        <w:adjustRightInd w:val="0"/>
        <w:snapToGrid w:val="0"/>
        <w:spacing w:line="360" w:lineRule="auto"/>
        <w:ind w:firstLine="446" w:firstLineChars="186"/>
        <w:rPr>
          <w:rFonts w:hint="eastAsia" w:ascii="Times New Roman" w:hAnsi="Times New Roman" w:eastAsia="宋体" w:cs="Times New Roman"/>
          <w:b w:val="0"/>
          <w:bCs w:val="0"/>
          <w:sz w:val="24"/>
          <w:szCs w:val="24"/>
          <w:highlight w:val="none"/>
          <w:lang w:val="en-US" w:eastAsia="zh-CN"/>
        </w:rPr>
      </w:pPr>
      <w:r>
        <w:rPr>
          <w:rFonts w:hint="eastAsia" w:cs="Times New Roman"/>
          <w:b w:val="0"/>
          <w:bCs w:val="0"/>
          <w:sz w:val="24"/>
          <w:szCs w:val="24"/>
          <w:highlight w:val="none"/>
          <w:lang w:val="en-US" w:eastAsia="zh-CN"/>
        </w:rPr>
        <w:t>德安县</w:t>
      </w:r>
      <w:r>
        <w:rPr>
          <w:rFonts w:hint="eastAsia" w:ascii="Times New Roman" w:hAnsi="Times New Roman" w:eastAsia="宋体" w:cs="Times New Roman"/>
          <w:b w:val="0"/>
          <w:bCs w:val="0"/>
          <w:sz w:val="24"/>
          <w:szCs w:val="24"/>
          <w:highlight w:val="none"/>
          <w:lang w:val="en-US" w:eastAsia="zh-CN"/>
        </w:rPr>
        <w:t>润泉供水有限公司为供水单位，加强工程日常运行维护，加强供水保障，规范用户用水行为，加强用水计量，强化水费收缴，倡导节约用水。</w:t>
      </w:r>
    </w:p>
    <w:p>
      <w:pPr>
        <w:pStyle w:val="5"/>
        <w:adjustRightInd/>
        <w:snapToGrid/>
        <w:spacing w:line="360" w:lineRule="auto"/>
        <w:ind w:firstLine="562" w:firstLineChars="200"/>
        <w:rPr>
          <w:rFonts w:hint="eastAsia" w:ascii="宋体" w:hAnsi="宋体" w:eastAsia="宋体" w:cs="宋体"/>
          <w:b/>
          <w:bCs/>
          <w:sz w:val="28"/>
          <w:szCs w:val="28"/>
          <w:lang w:val="en-US" w:eastAsia="zh-CN"/>
        </w:rPr>
      </w:pPr>
      <w:bookmarkStart w:id="104" w:name="_Toc29385"/>
      <w:r>
        <w:rPr>
          <w:rFonts w:hint="eastAsia" w:ascii="宋体" w:hAnsi="宋体" w:eastAsia="宋体" w:cs="宋体"/>
          <w:b/>
          <w:bCs/>
          <w:sz w:val="28"/>
          <w:szCs w:val="28"/>
          <w:lang w:val="en-US" w:eastAsia="zh-CN"/>
        </w:rPr>
        <w:t>智慧水务平台建设</w:t>
      </w:r>
      <w:bookmarkEnd w:id="104"/>
    </w:p>
    <w:p>
      <w:pPr>
        <w:pStyle w:val="6"/>
        <w:rPr>
          <w:rFonts w:hint="eastAsia"/>
          <w:sz w:val="24"/>
          <w:lang w:val="en-US" w:eastAsia="zh-CN"/>
        </w:rPr>
      </w:pPr>
      <w:r>
        <w:rPr>
          <w:rFonts w:hint="eastAsia"/>
          <w:sz w:val="24"/>
          <w:lang w:val="en-US" w:eastAsia="zh-CN"/>
        </w:rPr>
        <w:t>智慧水务平台简介</w:t>
      </w:r>
    </w:p>
    <w:p>
      <w:pPr>
        <w:ind w:firstLine="480" w:firstLineChars="200"/>
        <w:rPr>
          <w:rFonts w:hint="eastAsia" w:ascii="宋体" w:hAnsi="宋体" w:eastAsia="宋体" w:cs="宋体"/>
          <w:sz w:val="24"/>
        </w:rPr>
      </w:pPr>
      <w:r>
        <w:rPr>
          <w:rFonts w:hint="eastAsia" w:ascii="宋体" w:hAnsi="宋体" w:eastAsia="宋体" w:cs="宋体"/>
          <w:sz w:val="24"/>
        </w:rPr>
        <w:t>随着供水业务的快速发展，管网规模迅速扩大，致使管网的管理和维护难度也不断加大，为了增强对</w:t>
      </w:r>
      <w:r>
        <w:rPr>
          <w:rFonts w:hint="eastAsia" w:ascii="宋体" w:hAnsi="宋体" w:eastAsia="宋体" w:cs="宋体"/>
          <w:sz w:val="24"/>
          <w:lang w:val="en-US" w:eastAsia="zh-CN"/>
        </w:rPr>
        <w:t>德安县</w:t>
      </w:r>
      <w:r>
        <w:rPr>
          <w:rFonts w:hint="eastAsia" w:ascii="宋体" w:hAnsi="宋体" w:eastAsia="宋体" w:cs="宋体"/>
          <w:sz w:val="24"/>
        </w:rPr>
        <w:t>供水系统的运营监管能力，实现城市供水系统的智慧运作，提高供水企业综合管理与服务水平，达到科学、规范、高效的动态管理，实现供水输配管网系统的信息化和数字化管理，非常有必要建立供水管网信息系统，实现供水管网的数字化、信息化管理。</w:t>
      </w:r>
    </w:p>
    <w:p>
      <w:pPr>
        <w:ind w:firstLine="480" w:firstLineChars="200"/>
        <w:rPr>
          <w:rFonts w:hint="eastAsia" w:ascii="宋体" w:hAnsi="宋体" w:eastAsia="宋体" w:cs="宋体"/>
          <w:sz w:val="24"/>
        </w:rPr>
      </w:pPr>
      <w:r>
        <w:rPr>
          <w:rFonts w:hint="eastAsia" w:ascii="宋体" w:hAnsi="宋体" w:eastAsia="宋体" w:cs="宋体"/>
          <w:sz w:val="24"/>
        </w:rPr>
        <w:t>供水管网信息系统致力于提供供水管网信息化全面解决方案，以地理信息技术为基础，以数据库技术、数据中心技术、通信技术等技术为依托，以城市基础地形图和供水管网数据为核心，注重供水管网业务移动化、供水综合信息集成化、供水管网数据服务化，实现供水管网空间和属性数据统一动态管理，为供水管网的规划、设计、施工、运营、评估提供可靠的依据和服务，提高供水管网业务管理的水平和流转的效率，从而实现城市供水管网智慧运作和科学管理，进而塑造供水企业的良好形象，提高供水企业的经济和社会效益。</w:t>
      </w:r>
    </w:p>
    <w:p>
      <w:pPr>
        <w:ind w:firstLine="480" w:firstLineChars="200"/>
        <w:rPr>
          <w:rFonts w:hint="eastAsia" w:ascii="宋体" w:hAnsi="宋体" w:eastAsia="宋体" w:cs="宋体"/>
          <w:sz w:val="24"/>
        </w:rPr>
      </w:pPr>
      <w:r>
        <w:rPr>
          <w:rFonts w:hint="eastAsia" w:ascii="宋体" w:hAnsi="宋体" w:eastAsia="宋体" w:cs="宋体"/>
          <w:sz w:val="24"/>
        </w:rPr>
        <w:t>在当前信息化技术飞速发展的环境下，系统不仅可以满足传统的供水管网信息化管理需求，还是供水信息的共享服务平台、业务系统的可视开发平台，可作为供水企业核心资产管理和完整信息化的战略平台，助力供水企业的可持续发展。</w:t>
      </w:r>
    </w:p>
    <w:p>
      <w:pPr>
        <w:ind w:firstLine="480" w:firstLineChars="200"/>
        <w:rPr>
          <w:rFonts w:hint="eastAsia" w:ascii="宋体" w:hAnsi="宋体" w:eastAsia="宋体" w:cs="宋体"/>
          <w:sz w:val="24"/>
        </w:rPr>
      </w:pPr>
      <w:r>
        <w:rPr>
          <w:rFonts w:hint="eastAsia" w:ascii="宋体" w:hAnsi="宋体" w:eastAsia="宋体" w:cs="宋体"/>
          <w:sz w:val="24"/>
        </w:rPr>
        <w:t>系统建设的分目标体现在：</w:t>
      </w:r>
    </w:p>
    <w:p>
      <w:pPr>
        <w:ind w:firstLine="480" w:firstLineChars="200"/>
        <w:rPr>
          <w:rFonts w:hint="eastAsia" w:ascii="宋体" w:hAnsi="宋体" w:eastAsia="宋体" w:cs="宋体"/>
          <w:sz w:val="24"/>
        </w:rPr>
      </w:pPr>
      <w:r>
        <w:rPr>
          <w:rFonts w:hint="eastAsia" w:ascii="宋体" w:hAnsi="宋体" w:eastAsia="宋体" w:cs="宋体"/>
          <w:sz w:val="24"/>
        </w:rPr>
        <w:t>供水管网数字化。建立供水管网数据库，实现供水管网相关资料的统一信息化管理，如管道、泵站、阀门资料以及相关的施工、维修、养护资料等。</w:t>
      </w:r>
    </w:p>
    <w:p>
      <w:pPr>
        <w:ind w:firstLine="480" w:firstLineChars="200"/>
        <w:rPr>
          <w:rFonts w:hint="eastAsia" w:ascii="宋体" w:hAnsi="宋体" w:eastAsia="宋体" w:cs="宋体"/>
          <w:sz w:val="24"/>
        </w:rPr>
      </w:pPr>
      <w:r>
        <w:rPr>
          <w:rFonts w:hint="eastAsia" w:ascii="宋体" w:hAnsi="宋体" w:eastAsia="宋体" w:cs="宋体"/>
          <w:sz w:val="24"/>
        </w:rPr>
        <w:t>管网管理动态化。实现城市管网资料的动态管理，系统不但能够管理原有的管网资料，而且能够方便地将新建或改造工程的管网资料添加到管网数据库中，结合GPS和其他测绘数据，实现管网数据的同步更新，同时保证管网空间数据的拓扑完整性、属性数据的准确性、现势性。</w:t>
      </w:r>
    </w:p>
    <w:p>
      <w:pPr>
        <w:ind w:firstLine="480" w:firstLineChars="200"/>
        <w:rPr>
          <w:rFonts w:hint="eastAsia" w:ascii="宋体" w:hAnsi="宋体" w:eastAsia="宋体" w:cs="宋体"/>
          <w:sz w:val="24"/>
        </w:rPr>
      </w:pPr>
      <w:r>
        <w:rPr>
          <w:rFonts w:hint="eastAsia" w:ascii="宋体" w:hAnsi="宋体" w:eastAsia="宋体" w:cs="宋体"/>
          <w:sz w:val="24"/>
        </w:rPr>
        <w:t>供水管网可视化。实现管网管线及相关资料的在地图上的可视化查询、统计、打印以及输出，提供对供水管网的横、纵断面图查询以及三维可视化浏览，为供水管网的规划、设计、改扩建、维修提供准确翔实的管网资料。</w:t>
      </w:r>
    </w:p>
    <w:p>
      <w:pPr>
        <w:ind w:firstLine="480" w:firstLineChars="200"/>
        <w:rPr>
          <w:rFonts w:hint="eastAsia" w:ascii="宋体" w:hAnsi="宋体" w:eastAsia="宋体" w:cs="宋体"/>
          <w:sz w:val="24"/>
        </w:rPr>
      </w:pPr>
      <w:r>
        <w:rPr>
          <w:rFonts w:hint="eastAsia" w:ascii="宋体" w:hAnsi="宋体" w:eastAsia="宋体" w:cs="宋体"/>
          <w:sz w:val="24"/>
        </w:rPr>
        <w:t>决策支持智能化。当发生供水事故时，系统可准确快速定位到事故地点，并提供比原经验关阀更具科学性、准确性的关阀方案，辅助及时排除故障，缩短停气时间，减少资源浪费。</w:t>
      </w:r>
    </w:p>
    <w:p>
      <w:pPr>
        <w:ind w:firstLine="480" w:firstLineChars="200"/>
        <w:rPr>
          <w:rFonts w:hint="eastAsia" w:ascii="宋体" w:hAnsi="宋体" w:eastAsia="宋体" w:cs="宋体"/>
          <w:sz w:val="24"/>
        </w:rPr>
      </w:pPr>
      <w:r>
        <w:rPr>
          <w:rFonts w:hint="eastAsia" w:ascii="宋体" w:hAnsi="宋体" w:eastAsia="宋体" w:cs="宋体"/>
          <w:sz w:val="24"/>
        </w:rPr>
        <w:t>供水信息集成化。实现供水信息的综合集成，在地图上直观展现实时监测的水量信息、居民用水量、工商户用水量、供水管网改扩建工程进度、当前巡检人员位置、抢修的情况等，为领导全面准确掌握城市供水系统的运行状况提供支持。</w:t>
      </w:r>
    </w:p>
    <w:p>
      <w:pPr>
        <w:ind w:firstLine="480" w:firstLineChars="200"/>
        <w:rPr>
          <w:rFonts w:hint="eastAsia" w:ascii="宋体" w:hAnsi="宋体" w:eastAsia="宋体" w:cs="宋体"/>
          <w:sz w:val="24"/>
        </w:rPr>
      </w:pPr>
      <w:r>
        <w:rPr>
          <w:rFonts w:hint="eastAsia" w:ascii="宋体" w:hAnsi="宋体" w:eastAsia="宋体" w:cs="宋体"/>
          <w:sz w:val="24"/>
        </w:rPr>
        <w:t>供水信息服务化。为企业、政府、公众提供供水管网数据和功能服务，不仅能够为供水企业提供供水信息服务，还能够在数字城市层面提供供水信息服务，充分发挥系统建设的效益。</w:t>
      </w:r>
    </w:p>
    <w:p>
      <w:pPr>
        <w:ind w:firstLine="480" w:firstLineChars="200"/>
        <w:rPr>
          <w:rFonts w:hint="eastAsia" w:ascii="宋体" w:hAnsi="宋体" w:eastAsia="宋体" w:cs="宋体"/>
          <w:sz w:val="24"/>
          <w:lang w:eastAsia="zh-CN"/>
        </w:rPr>
      </w:pPr>
      <w:r>
        <w:rPr>
          <w:rFonts w:hint="eastAsia" w:ascii="宋体" w:hAnsi="宋体" w:eastAsia="宋体" w:cs="宋体"/>
          <w:sz w:val="24"/>
        </w:rPr>
        <w:t>系统发展业务化。符合“智慧供水”的SOA架构的总体发展要求，可在系统基础上快速搭建配置以供水管网数据为基础的供水管网巡线、检漏、抢修等业务信息系统，提高供水管网业务管理的水平</w:t>
      </w:r>
      <w:r>
        <w:rPr>
          <w:rFonts w:hint="eastAsia" w:ascii="宋体" w:hAnsi="宋体" w:eastAsia="宋体" w:cs="宋体"/>
          <w:sz w:val="24"/>
          <w:lang w:eastAsia="zh-CN"/>
        </w:rPr>
        <w:t>。</w:t>
      </w:r>
    </w:p>
    <w:p>
      <w:pPr>
        <w:pStyle w:val="6"/>
        <w:rPr>
          <w:rFonts w:hint="eastAsia"/>
          <w:sz w:val="24"/>
        </w:rPr>
      </w:pPr>
      <w:bookmarkStart w:id="105" w:name="_Toc481742578"/>
      <w:r>
        <w:rPr>
          <w:rFonts w:hint="eastAsia"/>
          <w:sz w:val="24"/>
        </w:rPr>
        <w:t>建设目标</w:t>
      </w:r>
      <w:bookmarkEnd w:id="105"/>
    </w:p>
    <w:p>
      <w:pPr>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规划至2025年，基本建成“水源-水厂-配水管网-加压站”全流程的自动化控制及监管的智慧水务平台。</w:t>
      </w:r>
    </w:p>
    <w:p>
      <w:pPr>
        <w:ind w:firstLine="476" w:firstLineChars="200"/>
        <w:rPr>
          <w:rFonts w:hint="eastAsia" w:ascii="宋体-简" w:hAnsi="宋体-简" w:eastAsia="宋体-简" w:cs="宋体-简"/>
          <w:b w:val="0"/>
          <w:spacing w:val="-1"/>
          <w:kern w:val="2"/>
          <w:sz w:val="24"/>
          <w:szCs w:val="24"/>
          <w:lang w:val="en-US" w:eastAsia="zh-CN" w:bidi="ar-SA"/>
        </w:rPr>
      </w:pPr>
      <w:bookmarkStart w:id="106" w:name="_Toc17054"/>
      <w:bookmarkStart w:id="107" w:name="_Toc31155"/>
      <w:bookmarkStart w:id="108" w:name="_Toc57388397"/>
      <w:bookmarkStart w:id="109" w:name="_Toc28928"/>
      <w:bookmarkStart w:id="110" w:name="_Toc31528"/>
      <w:r>
        <w:rPr>
          <w:rFonts w:hint="eastAsia" w:ascii="宋体-简" w:hAnsi="宋体-简" w:eastAsia="宋体-简" w:cs="宋体-简"/>
          <w:b w:val="0"/>
          <w:spacing w:val="-1"/>
          <w:kern w:val="2"/>
          <w:sz w:val="24"/>
          <w:szCs w:val="24"/>
          <w:lang w:val="en-US" w:eastAsia="zh-CN" w:bidi="ar-SA"/>
        </w:rPr>
        <w:t>1、保障供水</w:t>
      </w:r>
      <w:r>
        <w:rPr>
          <w:rFonts w:hint="eastAsia" w:ascii="宋体" w:hAnsi="宋体" w:eastAsia="宋体" w:cs="宋体"/>
          <w:b w:val="0"/>
          <w:bCs w:val="0"/>
          <w:kern w:val="2"/>
          <w:sz w:val="24"/>
          <w:szCs w:val="24"/>
          <w:lang w:val="en-US" w:eastAsia="zh-CN" w:bidi="ar-SA"/>
        </w:rPr>
        <w:t>安</w:t>
      </w:r>
      <w:r>
        <w:rPr>
          <w:rFonts w:hint="eastAsia" w:ascii="宋体-简" w:hAnsi="宋体-简" w:eastAsia="宋体-简" w:cs="宋体-简"/>
          <w:b w:val="0"/>
          <w:spacing w:val="-1"/>
          <w:kern w:val="2"/>
          <w:sz w:val="24"/>
          <w:szCs w:val="24"/>
          <w:lang w:val="en-US" w:eastAsia="zh-CN" w:bidi="ar-SA"/>
        </w:rPr>
        <w:t>全</w:t>
      </w:r>
      <w:r>
        <w:rPr>
          <w:rFonts w:hint="eastAsia" w:ascii="宋体" w:hAnsi="宋体" w:eastAsia="宋体" w:cs="宋体"/>
          <w:sz w:val="24"/>
          <w:lang w:val="en-US" w:eastAsia="zh-CN"/>
        </w:rPr>
        <w:t>可靠</w:t>
      </w:r>
      <w:r>
        <w:rPr>
          <w:rFonts w:hint="eastAsia" w:ascii="宋体-简" w:hAnsi="宋体-简" w:eastAsia="宋体-简" w:cs="宋体-简"/>
          <w:b w:val="0"/>
          <w:spacing w:val="-1"/>
          <w:kern w:val="2"/>
          <w:sz w:val="24"/>
          <w:szCs w:val="24"/>
          <w:lang w:val="en-US" w:eastAsia="zh-CN" w:bidi="ar-SA"/>
        </w:rPr>
        <w:t>及用户水质优良</w:t>
      </w:r>
      <w:bookmarkEnd w:id="106"/>
      <w:bookmarkEnd w:id="107"/>
      <w:bookmarkEnd w:id="108"/>
      <w:bookmarkEnd w:id="109"/>
      <w:bookmarkEnd w:id="110"/>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建立起一套覆盖</w:t>
      </w:r>
      <w:r>
        <w:rPr>
          <w:rFonts w:hint="eastAsia" w:ascii="宋体-简" w:hAnsi="宋体-简" w:eastAsia="宋体-简" w:cs="宋体-简"/>
          <w:b w:val="0"/>
          <w:spacing w:val="-1"/>
          <w:kern w:val="2"/>
          <w:sz w:val="24"/>
          <w:szCs w:val="24"/>
          <w:lang w:eastAsia="zh-CN" w:bidi="ar-SA"/>
        </w:rPr>
        <w:t>德安县</w:t>
      </w:r>
      <w:r>
        <w:rPr>
          <w:rFonts w:hint="eastAsia" w:ascii="宋体-简" w:hAnsi="宋体-简" w:eastAsia="宋体-简" w:cs="宋体-简"/>
          <w:b w:val="0"/>
          <w:spacing w:val="-1"/>
          <w:kern w:val="2"/>
          <w:sz w:val="24"/>
          <w:szCs w:val="24"/>
          <w:lang w:val="en-US" w:eastAsia="zh-CN" w:bidi="ar-SA"/>
        </w:rPr>
        <w:t>供水全流程的水质监控系统,建立高效的城镇水质数据采集、检测、监测、管理的网络和系统平台，达到及时掌推水质状况、信息，快速有效地处理、分析数据，提高水质预警、预报的速度，对水质变化做出快速反应和处理，将成为城镇水质管理的必然趋势，也是现代城镇企业管理自动化、信息化建设的重要环节和任务。</w:t>
      </w:r>
    </w:p>
    <w:p>
      <w:pPr>
        <w:pStyle w:val="2"/>
        <w:ind w:left="0" w:leftChars="0" w:firstLine="0" w:firstLineChars="0"/>
      </w:pPr>
      <w:r>
        <w:t xml:space="preserve"> </w:t>
      </w:r>
      <w:r>
        <w:drawing>
          <wp:inline distT="0" distB="0" distL="114300" distR="114300">
            <wp:extent cx="4956810" cy="2752725"/>
            <wp:effectExtent l="0" t="0" r="1524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9"/>
                    <a:stretch>
                      <a:fillRect/>
                    </a:stretch>
                  </pic:blipFill>
                  <pic:spPr>
                    <a:xfrm>
                      <a:off x="0" y="0"/>
                      <a:ext cx="4956810" cy="2752725"/>
                    </a:xfrm>
                    <a:prstGeom prst="rect">
                      <a:avLst/>
                    </a:prstGeom>
                    <a:noFill/>
                    <a:ln>
                      <a:noFill/>
                    </a:ln>
                  </pic:spPr>
                </pic:pic>
              </a:graphicData>
            </a:graphic>
          </wp:inline>
        </w:drawing>
      </w:r>
    </w:p>
    <w:p>
      <w:pPr>
        <w:pStyle w:val="2"/>
        <w:ind w:left="0" w:leftChars="0" w:firstLine="0" w:firstLineChars="0"/>
        <w:rPr>
          <w:rFonts w:hint="eastAsia"/>
          <w:lang w:eastAsia="zh-CN"/>
        </w:rPr>
      </w:pPr>
      <w:r>
        <w:t xml:space="preserve">                       </w:t>
      </w:r>
      <w:r>
        <w:rPr>
          <w:sz w:val="18"/>
          <w:szCs w:val="18"/>
        </w:rPr>
        <w:t xml:space="preserve"> 图：供水全流程监控管理</w:t>
      </w:r>
    </w:p>
    <w:p>
      <w:pPr>
        <w:ind w:firstLine="480" w:firstLineChars="200"/>
        <w:rPr>
          <w:rFonts w:hint="eastAsia" w:ascii="宋体" w:hAnsi="宋体" w:eastAsia="宋体" w:cs="宋体"/>
          <w:sz w:val="24"/>
          <w:lang w:val="en-US" w:eastAsia="zh-CN"/>
        </w:rPr>
      </w:pPr>
      <w:bookmarkStart w:id="111" w:name="_Toc26311"/>
      <w:bookmarkStart w:id="112" w:name="_Toc4379"/>
      <w:bookmarkStart w:id="113" w:name="_Toc57388398"/>
      <w:bookmarkStart w:id="114" w:name="_Toc2479"/>
      <w:bookmarkStart w:id="115" w:name="_Toc18875"/>
      <w:r>
        <w:rPr>
          <w:rFonts w:hint="eastAsia" w:ascii="宋体" w:hAnsi="宋体" w:eastAsia="宋体" w:cs="宋体"/>
          <w:sz w:val="24"/>
          <w:lang w:val="en-US" w:eastAsia="zh-CN"/>
        </w:rPr>
        <w:t>2、</w:t>
      </w:r>
      <w:r>
        <w:rPr>
          <w:rFonts w:hint="default" w:ascii="宋体" w:hAnsi="宋体" w:eastAsia="宋体" w:cs="宋体"/>
          <w:sz w:val="24"/>
          <w:lang w:val="en-US" w:eastAsia="zh-CN"/>
        </w:rPr>
        <w:t xml:space="preserve"> </w:t>
      </w:r>
      <w:r>
        <w:rPr>
          <w:rFonts w:hint="eastAsia" w:ascii="宋体" w:hAnsi="宋体" w:eastAsia="宋体" w:cs="宋体"/>
          <w:sz w:val="24"/>
          <w:lang w:val="en-US" w:eastAsia="zh-CN"/>
        </w:rPr>
        <w:t>通过建设漏损管理系统，降低管网漏损</w:t>
      </w:r>
      <w:bookmarkEnd w:id="111"/>
      <w:bookmarkEnd w:id="112"/>
      <w:bookmarkEnd w:id="113"/>
      <w:bookmarkEnd w:id="114"/>
      <w:bookmarkEnd w:id="115"/>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2015年国务院颁布的《水十条》中明确规定，到2020年底城市供水管网漏损率应控制在10%以内，这对供水企业提出了更高要求，而DMA分区计量系统是降低管网漏损的有效手段，通过减少管网明、暗漏损，提高售水量，进而实现效益提升。</w:t>
      </w:r>
    </w:p>
    <w:p>
      <w:pPr>
        <w:ind w:firstLine="480" w:firstLineChars="200"/>
        <w:rPr>
          <w:rFonts w:hint="eastAsia" w:ascii="宋体" w:hAnsi="宋体" w:eastAsia="宋体" w:cs="宋体"/>
          <w:sz w:val="24"/>
          <w:lang w:val="en-US" w:eastAsia="zh-CN"/>
        </w:rPr>
      </w:pPr>
      <w:bookmarkStart w:id="116" w:name="_Toc16680"/>
      <w:bookmarkStart w:id="117" w:name="_Toc24220"/>
      <w:bookmarkStart w:id="118" w:name="_Toc57388399"/>
      <w:bookmarkStart w:id="119" w:name="_Toc14954"/>
      <w:bookmarkStart w:id="120" w:name="_Toc8533"/>
      <w:r>
        <w:rPr>
          <w:rFonts w:hint="eastAsia" w:ascii="宋体" w:hAnsi="宋体" w:eastAsia="宋体" w:cs="宋体"/>
          <w:sz w:val="24"/>
          <w:lang w:val="en-US" w:eastAsia="zh-CN"/>
        </w:rPr>
        <w:t>3、</w:t>
      </w:r>
      <w:r>
        <w:rPr>
          <w:rFonts w:hint="default" w:ascii="宋体" w:hAnsi="宋体" w:eastAsia="宋体" w:cs="宋体"/>
          <w:sz w:val="24"/>
          <w:lang w:val="en-US" w:eastAsia="zh-CN"/>
        </w:rPr>
        <w:t xml:space="preserve"> </w:t>
      </w:r>
      <w:r>
        <w:rPr>
          <w:rFonts w:hint="eastAsia" w:ascii="宋体" w:hAnsi="宋体" w:eastAsia="宋体" w:cs="宋体"/>
          <w:sz w:val="24"/>
          <w:lang w:val="en-US" w:eastAsia="zh-CN"/>
        </w:rPr>
        <w:t>建立德安县地理信息管理</w:t>
      </w:r>
      <w:bookmarkEnd w:id="116"/>
      <w:bookmarkEnd w:id="117"/>
      <w:r>
        <w:rPr>
          <w:rFonts w:hint="eastAsia" w:ascii="宋体" w:hAnsi="宋体" w:eastAsia="宋体" w:cs="宋体"/>
          <w:sz w:val="24"/>
          <w:lang w:val="en-US" w:eastAsia="zh-CN"/>
        </w:rPr>
        <w:t>系统</w:t>
      </w:r>
      <w:bookmarkEnd w:id="118"/>
      <w:bookmarkEnd w:id="119"/>
      <w:bookmarkEnd w:id="120"/>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GIS是以数字化的地下管网基础资料为主要内容，以完善的地理空间数据管理体系和数据服务体系为主要结构的信息系统，为城市地下供水管网的规划、建设、管理提供完善、优质和高效的地理空间数据服务;为供水信息化建设的综合应用提供良好的基础和支持。</w:t>
      </w:r>
    </w:p>
    <w:p>
      <w:pPr>
        <w:ind w:firstLine="480" w:firstLineChars="200"/>
        <w:rPr>
          <w:rFonts w:hint="eastAsia" w:ascii="宋体" w:hAnsi="宋体" w:eastAsia="宋体" w:cs="宋体"/>
          <w:sz w:val="24"/>
          <w:lang w:val="en-US" w:eastAsia="zh-CN"/>
        </w:rPr>
      </w:pPr>
      <w:bookmarkStart w:id="121" w:name="_Toc57388400"/>
      <w:bookmarkStart w:id="122" w:name="_Toc25365"/>
      <w:bookmarkStart w:id="123" w:name="_Toc7590"/>
      <w:bookmarkStart w:id="124" w:name="_Toc22005"/>
      <w:bookmarkStart w:id="125" w:name="_Toc29987"/>
      <w:r>
        <w:rPr>
          <w:rFonts w:hint="eastAsia" w:ascii="宋体" w:hAnsi="宋体" w:eastAsia="宋体" w:cs="宋体"/>
          <w:sz w:val="24"/>
          <w:lang w:val="en-US" w:eastAsia="zh-CN"/>
        </w:rPr>
        <w:t>4、打通各个模块信息化，建立计算机辅助决策系统</w:t>
      </w:r>
      <w:bookmarkEnd w:id="121"/>
      <w:bookmarkEnd w:id="122"/>
      <w:bookmarkEnd w:id="123"/>
      <w:bookmarkEnd w:id="124"/>
      <w:bookmarkEnd w:id="125"/>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通过对德安</w:t>
      </w:r>
      <w:r>
        <w:rPr>
          <w:rFonts w:hint="default" w:ascii="宋体-简" w:hAnsi="宋体-简" w:eastAsia="宋体-简" w:cs="宋体-简"/>
          <w:b w:val="0"/>
          <w:spacing w:val="-1"/>
          <w:kern w:val="2"/>
          <w:sz w:val="24"/>
          <w:szCs w:val="24"/>
          <w:lang w:eastAsia="zh-CN" w:bidi="ar-SA"/>
        </w:rPr>
        <w:t>县</w:t>
      </w:r>
      <w:r>
        <w:rPr>
          <w:rFonts w:hint="eastAsia" w:ascii="宋体-简" w:hAnsi="宋体-简" w:eastAsia="宋体-简" w:cs="宋体-简"/>
          <w:b w:val="0"/>
          <w:spacing w:val="-1"/>
          <w:kern w:val="2"/>
          <w:sz w:val="24"/>
          <w:szCs w:val="24"/>
          <w:lang w:val="en-US" w:eastAsia="zh-CN" w:bidi="ar-SA"/>
        </w:rPr>
        <w:t>智慧</w:t>
      </w:r>
      <w:r>
        <w:rPr>
          <w:rFonts w:hint="default" w:ascii="宋体-简" w:hAnsi="宋体-简" w:eastAsia="宋体-简" w:cs="宋体-简"/>
          <w:b w:val="0"/>
          <w:spacing w:val="-1"/>
          <w:kern w:val="2"/>
          <w:sz w:val="24"/>
          <w:szCs w:val="24"/>
          <w:lang w:eastAsia="zh-CN" w:bidi="ar-SA"/>
        </w:rPr>
        <w:t>水务</w:t>
      </w:r>
      <w:r>
        <w:rPr>
          <w:rFonts w:hint="eastAsia" w:ascii="宋体-简" w:hAnsi="宋体-简" w:eastAsia="宋体-简" w:cs="宋体-简"/>
          <w:b w:val="0"/>
          <w:spacing w:val="-1"/>
          <w:kern w:val="2"/>
          <w:sz w:val="24"/>
          <w:szCs w:val="24"/>
          <w:lang w:val="en-US" w:eastAsia="zh-CN" w:bidi="ar-SA"/>
        </w:rPr>
        <w:t>平台的建设，实现</w:t>
      </w:r>
      <w:r>
        <w:rPr>
          <w:rFonts w:hint="eastAsia" w:ascii="宋体-简" w:hAnsi="宋体-简" w:eastAsia="宋体-简" w:cs="宋体-简"/>
          <w:b w:val="0"/>
          <w:spacing w:val="-1"/>
          <w:kern w:val="2"/>
          <w:sz w:val="24"/>
          <w:szCs w:val="24"/>
          <w:lang w:eastAsia="zh-CN" w:bidi="ar-SA"/>
        </w:rPr>
        <w:t>德安县</w:t>
      </w:r>
      <w:r>
        <w:rPr>
          <w:rFonts w:hint="eastAsia" w:ascii="宋体-简" w:hAnsi="宋体-简" w:eastAsia="宋体-简" w:cs="宋体-简"/>
          <w:b w:val="0"/>
          <w:spacing w:val="-1"/>
          <w:kern w:val="2"/>
          <w:sz w:val="24"/>
          <w:szCs w:val="24"/>
          <w:lang w:val="en-US" w:eastAsia="zh-CN" w:bidi="ar-SA"/>
        </w:rPr>
        <w:t>供水系统的全流程的数据覆盖，打通各个信息化模块之间的孤岛连接，并通过对海量信息及时分析与处理，从而以更精准、动态的方式对水源管理、制水、供水、用水、售水等各个环节进行全流程服务，为城镇水务管理者提供决策支持。</w:t>
      </w:r>
    </w:p>
    <w:p>
      <w:pPr>
        <w:ind w:firstLine="480" w:firstLineChars="200"/>
        <w:rPr>
          <w:rFonts w:hint="eastAsia" w:ascii="宋体" w:hAnsi="宋体" w:eastAsia="宋体" w:cs="宋体"/>
          <w:sz w:val="24"/>
          <w:lang w:val="en-US" w:eastAsia="zh-CN"/>
        </w:rPr>
      </w:pPr>
      <w:bookmarkStart w:id="126" w:name="_Toc30378"/>
      <w:bookmarkStart w:id="127" w:name="_Toc57388401"/>
      <w:bookmarkStart w:id="128" w:name="_Toc29197"/>
      <w:bookmarkStart w:id="129" w:name="_Toc32131"/>
      <w:bookmarkStart w:id="130" w:name="_Toc20682"/>
      <w:r>
        <w:rPr>
          <w:rFonts w:hint="eastAsia" w:ascii="宋体" w:hAnsi="宋体" w:eastAsia="宋体" w:cs="宋体"/>
          <w:sz w:val="24"/>
          <w:lang w:val="en-US" w:eastAsia="zh-CN"/>
        </w:rPr>
        <w:t>5、信息系统安全保障的建设</w:t>
      </w:r>
      <w:bookmarkEnd w:id="126"/>
      <w:bookmarkEnd w:id="127"/>
      <w:bookmarkEnd w:id="128"/>
      <w:bookmarkEnd w:id="129"/>
      <w:bookmarkEnd w:id="130"/>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城镇供水企业智慧水务系统内的各类专业业务信息化应用系统及其数据信息，均属于国家《信息安全等级保护管理办法》中规定的第三级等级保护。</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信息安全体系建设应依据安全等级保护的基本要求，从物理安全、网络安全、主机安全、应用安全、数据安全以及安全管理等方面综合考虑，建设成可管理、可控制、可信任的并且融管理、运行和技术为一体的信息安全保障体系。</w:t>
      </w:r>
    </w:p>
    <w:p>
      <w:pPr>
        <w:ind w:firstLine="480" w:firstLineChars="200"/>
        <w:rPr>
          <w:rFonts w:hint="eastAsia" w:ascii="宋体" w:hAnsi="宋体" w:eastAsia="宋体" w:cs="宋体"/>
          <w:sz w:val="24"/>
          <w:lang w:val="en-US" w:eastAsia="zh-CN"/>
        </w:rPr>
      </w:pPr>
      <w:bookmarkStart w:id="131" w:name="_Toc57388402"/>
      <w:bookmarkStart w:id="132" w:name="_Toc27335"/>
      <w:bookmarkStart w:id="133" w:name="_Toc10701"/>
      <w:bookmarkStart w:id="134" w:name="_Toc10820"/>
      <w:bookmarkStart w:id="135" w:name="_Toc9515"/>
      <w:r>
        <w:rPr>
          <w:rFonts w:hint="eastAsia" w:ascii="宋体" w:hAnsi="宋体" w:eastAsia="宋体" w:cs="宋体"/>
          <w:sz w:val="24"/>
          <w:lang w:val="en-US" w:eastAsia="zh-CN"/>
        </w:rPr>
        <w:t>6、降低设备运行能耗，减少人员投入</w:t>
      </w:r>
      <w:bookmarkEnd w:id="131"/>
      <w:bookmarkEnd w:id="132"/>
      <w:bookmarkEnd w:id="133"/>
      <w:bookmarkEnd w:id="134"/>
      <w:bookmarkEnd w:id="135"/>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水厂及二次供水环节的设备运行能耗是供水系统中占比最高的运营成本，通过智慧水务的建设，通过优化整个供水系统的工作流程与控制方式，从而提升设备的运行效率，减少运行能耗；另一方面，通过建立起对整个供水系统的全流程监控，并利用采集到的大量数据进行计算机辅助决策，也极大的减少了日常维护人员的投入，降低了企业的运营成本。</w:t>
      </w:r>
    </w:p>
    <w:p>
      <w:pPr>
        <w:pStyle w:val="6"/>
        <w:rPr>
          <w:rFonts w:hint="eastAsia"/>
          <w:sz w:val="24"/>
          <w:lang w:val="en-US" w:eastAsia="zh-CN"/>
        </w:rPr>
      </w:pPr>
      <w:r>
        <w:rPr>
          <w:rFonts w:hint="eastAsia"/>
          <w:sz w:val="24"/>
          <w:lang w:val="en-US" w:eastAsia="zh-CN"/>
        </w:rPr>
        <w:t>监测内容</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该平台集水源地取水、水厂制水、管网配水、大客户用水等多环节监控于一身，对供水各个环节进行统一管理，并可对供水系统工况进行科学统计和智能分析，为供水系统的高效调度和优化运行发挥了重要作用。</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1）、</w:t>
      </w:r>
      <w:r>
        <w:rPr>
          <w:rFonts w:hint="default" w:ascii="宋体" w:hAnsi="宋体"/>
          <w:sz w:val="24"/>
          <w:szCs w:val="24"/>
          <w:lang w:val="en-US" w:eastAsia="zh-CN"/>
        </w:rPr>
        <w:t>取水泵站监控系统</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监控对象：河道、水库等取水泵站监控内容：</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（1）取水点水位；出水压力和流量。</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（2）泵组运行参数。</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（3）泵站视频。</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（4）泵组远程控制。</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2）、</w:t>
      </w:r>
      <w:r>
        <w:rPr>
          <w:rFonts w:hint="default" w:ascii="宋体" w:hAnsi="宋体"/>
          <w:sz w:val="24"/>
          <w:szCs w:val="24"/>
          <w:lang w:val="en-US" w:eastAsia="zh-CN"/>
        </w:rPr>
        <w:t>水厂监控系统</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监控对象：水厂</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监控内容；</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（1）蓄水池、清水池水位。</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（2）出厂水质、压力和流量。</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（3）泵组、配电及加药设备运行参数。</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（4）重点部位视频。</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（5）泵组、加药设备远程控制。</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3）、</w:t>
      </w:r>
      <w:r>
        <w:rPr>
          <w:rFonts w:hint="default" w:ascii="宋体" w:hAnsi="宋体"/>
          <w:sz w:val="24"/>
          <w:szCs w:val="24"/>
          <w:lang w:val="en-US" w:eastAsia="zh-CN"/>
        </w:rPr>
        <w:t>加压泵站监控系统</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监控对织中途/小区加压泵站监控内容；</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（1）进水压力或水池水位。</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（2）出水水质、流量和压力。</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（3）泵组运行参数。</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（4）泵站视频。</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（5）泵组远程控制。</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4）、</w:t>
      </w:r>
      <w:r>
        <w:rPr>
          <w:rFonts w:hint="default" w:ascii="宋体" w:hAnsi="宋体"/>
          <w:sz w:val="24"/>
          <w:szCs w:val="24"/>
          <w:lang w:val="en-US" w:eastAsia="zh-CN"/>
        </w:rPr>
        <w:t>供水管网监测系统</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监控对象：供水管网</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监控内容：压力、流量和水质。</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5）、</w:t>
      </w:r>
      <w:r>
        <w:rPr>
          <w:rFonts w:hint="default" w:ascii="宋体" w:hAnsi="宋体"/>
          <w:sz w:val="24"/>
          <w:szCs w:val="24"/>
          <w:lang w:val="en-US" w:eastAsia="zh-CN"/>
        </w:rPr>
        <w:t>大客户抄表系统</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监控对象：工商业用水大客户</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监控内容：水量</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6）、</w:t>
      </w:r>
      <w:r>
        <w:rPr>
          <w:rFonts w:hint="default" w:ascii="宋体" w:hAnsi="宋体"/>
          <w:sz w:val="24"/>
          <w:szCs w:val="24"/>
          <w:lang w:val="en-US" w:eastAsia="zh-CN"/>
        </w:rPr>
        <w:t>取水栓及消火栓远程监管系统</w:t>
      </w:r>
    </w:p>
    <w:p>
      <w:pPr>
        <w:spacing w:line="360" w:lineRule="auto"/>
        <w:ind w:firstLine="480" w:firstLineChars="200"/>
        <w:rPr>
          <w:rFonts w:hint="default" w:ascii="宋体" w:hAnsi="宋体"/>
          <w:sz w:val="24"/>
          <w:szCs w:val="24"/>
          <w:lang w:val="en-US" w:eastAsia="zh-CN"/>
        </w:rPr>
      </w:pPr>
      <w:r>
        <w:rPr>
          <w:rFonts w:hint="default" w:ascii="宋体" w:hAnsi="宋体"/>
          <w:sz w:val="24"/>
          <w:szCs w:val="24"/>
          <w:lang w:val="en-US" w:eastAsia="zh-CN"/>
        </w:rPr>
        <w:t>监控对象：消防栓、取水栓</w:t>
      </w:r>
    </w:p>
    <w:p>
      <w:pPr>
        <w:ind w:firstLine="480" w:firstLineChars="200"/>
        <w:rPr>
          <w:rFonts w:hint="default" w:ascii="宋体" w:hAnsi="宋体" w:eastAsia="宋体" w:cs="宋体"/>
          <w:sz w:val="24"/>
          <w:szCs w:val="24"/>
          <w:lang w:val="en-US" w:eastAsia="zh-CN"/>
        </w:rPr>
      </w:pPr>
      <w:r>
        <w:rPr>
          <w:rFonts w:hint="default" w:ascii="宋体" w:hAnsi="宋体"/>
          <w:sz w:val="24"/>
          <w:szCs w:val="24"/>
          <w:lang w:val="en-US" w:eastAsia="zh-CN"/>
        </w:rPr>
        <w:t>监控内容：流量、压力</w:t>
      </w:r>
    </w:p>
    <w:p>
      <w:pPr>
        <w:pStyle w:val="6"/>
        <w:rPr>
          <w:rFonts w:hint="default"/>
          <w:sz w:val="24"/>
          <w:lang w:val="en-US" w:eastAsia="zh-CN"/>
        </w:rPr>
      </w:pPr>
      <w:r>
        <w:rPr>
          <w:rFonts w:hint="default"/>
          <w:sz w:val="24"/>
          <w:lang w:val="en-US" w:eastAsia="zh-CN"/>
        </w:rPr>
        <w:t>智慧水务整体设计</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依据智慧供水的核心理念，以先进、灵活、可靠、低风险、满足未来需求为原则，在原有信息化体系基础上，实现对供水系统全面的监控预警，推进信息资源整合与业务协同，加强智能化技术的深度应用，形成由“智慧供水”共享资源体系、智能应用体系、监控预警体系、诊断评估体系、实施保障体系组成的“智慧供水”总体框架。其中监控预警体系是关键，共享资源体系是基础，智能应用体系是主线，信息和业务标准化、组织与制度创新是保障。</w:t>
      </w:r>
    </w:p>
    <w:p>
      <w:pPr>
        <w:spacing w:line="360" w:lineRule="auto"/>
        <w:ind w:left="3451" w:hanging="3451" w:hangingChars="1450"/>
        <w:rPr>
          <w:rFonts w:hint="eastAsia" w:ascii="宋体-简" w:hAnsi="宋体-简" w:eastAsia="宋体-简" w:cs="宋体-简"/>
          <w:b w:val="0"/>
          <w:spacing w:val="-1"/>
          <w:kern w:val="2"/>
          <w:sz w:val="21"/>
          <w:szCs w:val="21"/>
          <w:lang w:val="en-US" w:eastAsia="zh-CN" w:bidi="ar-SA"/>
        </w:rPr>
      </w:pPr>
      <w:r>
        <w:rPr>
          <w:rFonts w:hint="eastAsia" w:ascii="宋体-简" w:hAnsi="宋体-简" w:eastAsia="宋体-简" w:cs="宋体-简"/>
          <w:b w:val="0"/>
          <w:spacing w:val="-1"/>
          <w:kern w:val="2"/>
          <w:sz w:val="24"/>
          <w:szCs w:val="24"/>
          <w:lang w:val="en-US" w:eastAsia="zh-CN" w:bidi="ar-SA"/>
        </w:rPr>
        <w:drawing>
          <wp:inline distT="0" distB="0" distL="114300" distR="114300">
            <wp:extent cx="5371465" cy="2606675"/>
            <wp:effectExtent l="0" t="0" r="635" b="317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30"/>
                    <a:stretch>
                      <a:fillRect/>
                    </a:stretch>
                  </pic:blipFill>
                  <pic:spPr>
                    <a:xfrm>
                      <a:off x="0" y="0"/>
                      <a:ext cx="5371465" cy="2606675"/>
                    </a:xfrm>
                    <a:prstGeom prst="rect">
                      <a:avLst/>
                    </a:prstGeom>
                    <a:noFill/>
                    <a:ln>
                      <a:noFill/>
                    </a:ln>
                  </pic:spPr>
                </pic:pic>
              </a:graphicData>
            </a:graphic>
          </wp:inline>
        </w:drawing>
      </w:r>
      <w:r>
        <w:rPr>
          <w:rFonts w:hint="eastAsia" w:ascii="宋体-简" w:hAnsi="宋体-简" w:eastAsia="宋体-简" w:cs="宋体-简"/>
          <w:b w:val="0"/>
          <w:spacing w:val="-1"/>
          <w:kern w:val="2"/>
          <w:sz w:val="21"/>
          <w:szCs w:val="21"/>
          <w:lang w:val="en-US" w:eastAsia="zh-CN" w:bidi="ar-SA"/>
        </w:rPr>
        <w:t>图：总体架构</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1、智能感知/监控体系</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智能感知/监控体系的建立是实现供水系统智慧化运行管理的关键，将传感器嵌入或装备到源水系统、供水系统中，使之普遍连接，形成物联网，然后将物联网与现有的互联网进行整合，实现对厂站、管网、终端等组成的供水系统信息的自动采集、网络传输与数据汇总，实现相关设备的自动化智能控制，实现企业关键生产指标、设备状态的远程监视、智能预警。</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2、数据共享平台</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数据共享平台是实现智慧化管理的基础，旨在打破各个系统之间的信息孤岛，在跨系统、跨部门、跨单位的数据整合基础上，搭建，实现数据的资源化管理、共享应用和深度挖掘分析，确保数据的安全性。内容包括数据接入平台、高性能数据并行计算平台和数据中台等。</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3、应用支撑平台</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为应用系统构建提供平台化支撑，方便应用系统的柔性搭建，内容包括基础支撑服务、企业应用中台和计算分析模型等内容。</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基础支撑服务可以包括表单、流程、报表、地图、视频监控服务、消息等服务。企业应用中台可以包括工单管理、资产管理、规则引擎管理、物联网设备管理等。诊断评估模型可以包括机器自学习模型、仿真计算及优化模型等，将为供水系统运行状况与风险识别提供支撑，为供水系统运行调度、维养和改造提供依据。计算分析模型包括仿真模拟计算模型、机器自学习模型等。</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4、智慧管理应用体系</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智能应用体系建设将支撑广水市供水的运营管理逐步走向标准化、精细化、协同化与智慧化。智慧供水智能应用体系将由综合管理门户、营销管理、客服管理、调度管理、厂站运行、管网运维等系统组成。</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5、IT基础支撑体系</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IT基础支撑设施，包括主机、存储、网络等智慧供水所需要的软硬件运行环境，将通过云计算技术的应用，实现集约化建设与管理，降低建设成本，保证安全性与可靠性。</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6、智慧供水实施保障体系</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通过建立各项规范制度，从标准、人力、制度等方面保障总公司“智慧供水”建设工作的顺利进行，全面贯穿公司“智慧供水”的各个层面，覆盖每一环节。</w:t>
      </w:r>
    </w:p>
    <w:p>
      <w:pPr>
        <w:pStyle w:val="6"/>
        <w:rPr>
          <w:rFonts w:hint="default"/>
          <w:sz w:val="24"/>
          <w:lang w:eastAsia="zh-CN"/>
        </w:rPr>
      </w:pPr>
      <w:r>
        <w:rPr>
          <w:rFonts w:hint="default"/>
          <w:sz w:val="24"/>
          <w:lang w:val="en-US" w:eastAsia="zh-CN"/>
        </w:rPr>
        <w:t>建设</w:t>
      </w:r>
      <w:r>
        <w:rPr>
          <w:rFonts w:hint="default"/>
          <w:sz w:val="24"/>
          <w:lang w:eastAsia="zh-CN"/>
        </w:rPr>
        <w:t>内容</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eastAsia" w:ascii="宋体-简" w:hAnsi="宋体-简" w:eastAsia="宋体-简" w:cs="宋体-简"/>
          <w:b w:val="0"/>
          <w:spacing w:val="-1"/>
          <w:kern w:val="2"/>
          <w:sz w:val="24"/>
          <w:szCs w:val="24"/>
          <w:lang w:val="en-US" w:eastAsia="zh-CN" w:bidi="ar-SA"/>
        </w:rPr>
        <w:t>德安</w:t>
      </w:r>
      <w:r>
        <w:rPr>
          <w:rFonts w:hint="default" w:ascii="宋体-简" w:hAnsi="宋体-简" w:eastAsia="宋体-简" w:cs="宋体-简"/>
          <w:b w:val="0"/>
          <w:spacing w:val="-1"/>
          <w:kern w:val="2"/>
          <w:sz w:val="24"/>
          <w:szCs w:val="24"/>
          <w:lang w:val="en-US" w:eastAsia="zh-CN" w:bidi="ar-SA"/>
        </w:rPr>
        <w:t>县此次全县的智慧水务系统建设</w:t>
      </w:r>
      <w:r>
        <w:rPr>
          <w:rFonts w:hint="eastAsia" w:ascii="宋体-简" w:hAnsi="宋体-简" w:eastAsia="宋体-简" w:cs="宋体-简"/>
          <w:b w:val="0"/>
          <w:spacing w:val="-1"/>
          <w:kern w:val="2"/>
          <w:sz w:val="24"/>
          <w:szCs w:val="24"/>
          <w:lang w:val="en-US" w:eastAsia="zh-CN" w:bidi="ar-SA"/>
        </w:rPr>
        <w:t>主要</w:t>
      </w:r>
      <w:r>
        <w:rPr>
          <w:rFonts w:hint="default" w:ascii="宋体-简" w:hAnsi="宋体-简" w:eastAsia="宋体-简" w:cs="宋体-简"/>
          <w:b w:val="0"/>
          <w:spacing w:val="-1"/>
          <w:kern w:val="2"/>
          <w:sz w:val="24"/>
          <w:szCs w:val="24"/>
          <w:lang w:val="en-US" w:eastAsia="zh-CN" w:bidi="ar-SA"/>
        </w:rPr>
        <w:t>可以</w:t>
      </w:r>
      <w:r>
        <w:rPr>
          <w:rFonts w:hint="eastAsia" w:ascii="宋体-简" w:hAnsi="宋体-简" w:eastAsia="宋体-简" w:cs="宋体-简"/>
          <w:b w:val="0"/>
          <w:spacing w:val="-1"/>
          <w:kern w:val="2"/>
          <w:sz w:val="24"/>
          <w:szCs w:val="24"/>
          <w:lang w:val="en-US" w:eastAsia="zh-CN" w:bidi="ar-SA"/>
        </w:rPr>
        <w:t>从以下几方面来着手：</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1、</w:t>
      </w:r>
      <w:r>
        <w:rPr>
          <w:rFonts w:hint="eastAsia" w:ascii="宋体-简" w:hAnsi="宋体-简" w:eastAsia="宋体-简" w:cs="宋体-简"/>
          <w:b w:val="0"/>
          <w:spacing w:val="-1"/>
          <w:kern w:val="2"/>
          <w:sz w:val="24"/>
          <w:szCs w:val="24"/>
          <w:lang w:val="en-US" w:eastAsia="zh-CN" w:bidi="ar-SA"/>
        </w:rPr>
        <w:t>建立智能化、信息化、管控一体化的</w:t>
      </w:r>
      <w:r>
        <w:rPr>
          <w:rFonts w:hint="default" w:ascii="宋体-简" w:hAnsi="宋体-简" w:eastAsia="宋体-简" w:cs="宋体-简"/>
          <w:b w:val="0"/>
          <w:spacing w:val="-1"/>
          <w:kern w:val="2"/>
          <w:sz w:val="24"/>
          <w:szCs w:val="24"/>
          <w:lang w:val="en-US" w:eastAsia="zh-CN" w:bidi="ar-SA"/>
        </w:rPr>
        <w:t>水厂管控</w:t>
      </w:r>
      <w:r>
        <w:rPr>
          <w:rFonts w:hint="eastAsia" w:ascii="宋体-简" w:hAnsi="宋体-简" w:eastAsia="宋体-简" w:cs="宋体-简"/>
          <w:b w:val="0"/>
          <w:spacing w:val="-1"/>
          <w:kern w:val="2"/>
          <w:sz w:val="24"/>
          <w:szCs w:val="24"/>
          <w:lang w:val="en-US" w:eastAsia="zh-CN" w:bidi="ar-SA"/>
        </w:rPr>
        <w:t>平台，将德安</w:t>
      </w:r>
      <w:r>
        <w:rPr>
          <w:rFonts w:hint="default" w:ascii="宋体-简" w:hAnsi="宋体-简" w:eastAsia="宋体-简" w:cs="宋体-简"/>
          <w:b w:val="0"/>
          <w:spacing w:val="-1"/>
          <w:kern w:val="2"/>
          <w:sz w:val="24"/>
          <w:szCs w:val="24"/>
          <w:lang w:val="en-US" w:eastAsia="zh-CN" w:bidi="ar-SA"/>
        </w:rPr>
        <w:t>县全县</w:t>
      </w:r>
      <w:r>
        <w:rPr>
          <w:rFonts w:hint="eastAsia" w:ascii="宋体-简" w:hAnsi="宋体-简" w:eastAsia="宋体-简" w:cs="宋体-简"/>
          <w:b w:val="0"/>
          <w:spacing w:val="-1"/>
          <w:kern w:val="2"/>
          <w:sz w:val="24"/>
          <w:szCs w:val="24"/>
          <w:lang w:val="en-US" w:eastAsia="zh-CN" w:bidi="ar-SA"/>
        </w:rPr>
        <w:t>下辖</w:t>
      </w:r>
      <w:r>
        <w:rPr>
          <w:rFonts w:hint="default" w:ascii="宋体-简" w:hAnsi="宋体-简" w:eastAsia="宋体-简" w:cs="宋体-简"/>
          <w:b w:val="0"/>
          <w:spacing w:val="-1"/>
          <w:kern w:val="2"/>
          <w:sz w:val="24"/>
          <w:szCs w:val="24"/>
          <w:lang w:val="en-US" w:eastAsia="zh-CN" w:bidi="ar-SA"/>
        </w:rPr>
        <w:t>的全部水厂纳入到统一的</w:t>
      </w:r>
      <w:r>
        <w:rPr>
          <w:rFonts w:hint="eastAsia" w:ascii="宋体-简" w:hAnsi="宋体-简" w:eastAsia="宋体-简" w:cs="宋体-简"/>
          <w:b w:val="0"/>
          <w:spacing w:val="-1"/>
          <w:kern w:val="2"/>
          <w:sz w:val="24"/>
          <w:szCs w:val="24"/>
          <w:lang w:val="en-US" w:eastAsia="zh-CN" w:bidi="ar-SA"/>
        </w:rPr>
        <w:t>运维管理模式之下</w:t>
      </w:r>
      <w:r>
        <w:rPr>
          <w:rFonts w:hint="default" w:ascii="宋体-简" w:hAnsi="宋体-简" w:eastAsia="宋体-简" w:cs="宋体-简"/>
          <w:b w:val="0"/>
          <w:spacing w:val="-1"/>
          <w:kern w:val="2"/>
          <w:sz w:val="24"/>
          <w:szCs w:val="24"/>
          <w:lang w:val="en-US" w:eastAsia="zh-CN" w:bidi="ar-SA"/>
        </w:rPr>
        <w:t>。</w:t>
      </w:r>
      <w:r>
        <w:rPr>
          <w:rFonts w:hint="eastAsia" w:ascii="宋体-简" w:hAnsi="宋体-简" w:eastAsia="宋体-简" w:cs="宋体-简"/>
          <w:b w:val="0"/>
          <w:spacing w:val="-1"/>
          <w:kern w:val="2"/>
          <w:sz w:val="24"/>
          <w:szCs w:val="24"/>
          <w:lang w:val="en-US" w:eastAsia="zh-CN" w:bidi="ar-SA"/>
        </w:rPr>
        <w:t>以自动化设备、仪表为基础，以智能化前后终端和模块为辅，以水厂设备自动化控制和水厂工艺流程监测为中心，将传统</w:t>
      </w:r>
      <w:r>
        <w:rPr>
          <w:rFonts w:hint="default" w:ascii="宋体-简" w:hAnsi="宋体-简" w:eastAsia="宋体-简" w:cs="宋体-简"/>
          <w:b w:val="0"/>
          <w:spacing w:val="-1"/>
          <w:kern w:val="2"/>
          <w:sz w:val="24"/>
          <w:szCs w:val="24"/>
          <w:lang w:val="en-US" w:eastAsia="zh-CN" w:bidi="ar-SA"/>
        </w:rPr>
        <w:t>水厂中</w:t>
      </w:r>
      <w:r>
        <w:rPr>
          <w:rFonts w:hint="eastAsia" w:ascii="宋体-简" w:hAnsi="宋体-简" w:eastAsia="宋体-简" w:cs="宋体-简"/>
          <w:b w:val="0"/>
          <w:spacing w:val="-1"/>
          <w:kern w:val="2"/>
          <w:sz w:val="24"/>
          <w:szCs w:val="24"/>
          <w:lang w:val="en-US" w:eastAsia="zh-CN" w:bidi="ar-SA"/>
        </w:rPr>
        <w:t>的自动化控制系统、大屏幕显示系统、安防监控系统、报警系统、设备管理、水质管理等本来就相辅相成的系统统一到平台来统一管理</w:t>
      </w:r>
      <w:r>
        <w:rPr>
          <w:rFonts w:hint="default" w:ascii="宋体-简" w:hAnsi="宋体-简" w:eastAsia="宋体-简" w:cs="宋体-简"/>
          <w:b w:val="0"/>
          <w:spacing w:val="-1"/>
          <w:kern w:val="2"/>
          <w:sz w:val="24"/>
          <w:szCs w:val="24"/>
          <w:lang w:val="en-US" w:eastAsia="zh-CN" w:bidi="ar-SA"/>
        </w:rPr>
        <w:t>。</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2、建立智慧泵站管理</w:t>
      </w:r>
      <w:r>
        <w:rPr>
          <w:rFonts w:hint="eastAsia" w:ascii="宋体-简" w:hAnsi="宋体-简" w:eastAsia="宋体-简" w:cs="宋体-简"/>
          <w:b w:val="0"/>
          <w:spacing w:val="-1"/>
          <w:kern w:val="2"/>
          <w:sz w:val="24"/>
          <w:szCs w:val="24"/>
          <w:lang w:val="en-US" w:eastAsia="zh-CN" w:bidi="ar-SA"/>
        </w:rPr>
        <w:t>平台，将德安</w:t>
      </w:r>
      <w:r>
        <w:rPr>
          <w:rFonts w:hint="default" w:ascii="宋体-简" w:hAnsi="宋体-简" w:eastAsia="宋体-简" w:cs="宋体-简"/>
          <w:b w:val="0"/>
          <w:spacing w:val="-1"/>
          <w:kern w:val="2"/>
          <w:sz w:val="24"/>
          <w:szCs w:val="24"/>
          <w:lang w:val="en-US" w:eastAsia="zh-CN" w:bidi="ar-SA"/>
        </w:rPr>
        <w:t>县全县</w:t>
      </w:r>
      <w:r>
        <w:rPr>
          <w:rFonts w:hint="eastAsia" w:ascii="宋体-简" w:hAnsi="宋体-简" w:eastAsia="宋体-简" w:cs="宋体-简"/>
          <w:b w:val="0"/>
          <w:spacing w:val="-1"/>
          <w:kern w:val="2"/>
          <w:sz w:val="24"/>
          <w:szCs w:val="24"/>
          <w:lang w:val="en-US" w:eastAsia="zh-CN" w:bidi="ar-SA"/>
        </w:rPr>
        <w:t>下辖</w:t>
      </w:r>
      <w:r>
        <w:rPr>
          <w:rFonts w:hint="default" w:ascii="宋体-简" w:hAnsi="宋体-简" w:eastAsia="宋体-简" w:cs="宋体-简"/>
          <w:b w:val="0"/>
          <w:spacing w:val="-1"/>
          <w:kern w:val="2"/>
          <w:sz w:val="24"/>
          <w:szCs w:val="24"/>
          <w:lang w:val="en-US" w:eastAsia="zh-CN" w:bidi="ar-SA"/>
        </w:rPr>
        <w:t>的加压</w:t>
      </w:r>
      <w:r>
        <w:rPr>
          <w:rFonts w:hint="eastAsia" w:ascii="宋体-简" w:hAnsi="宋体-简" w:eastAsia="宋体-简" w:cs="宋体-简"/>
          <w:b w:val="0"/>
          <w:spacing w:val="-1"/>
          <w:kern w:val="2"/>
          <w:sz w:val="24"/>
          <w:szCs w:val="24"/>
          <w:lang w:val="en-US" w:eastAsia="zh-CN" w:bidi="ar-SA"/>
        </w:rPr>
        <w:t>泵站、二供设备（预留接口为后期接入做准备）纳入到统一的运维管理模式之下</w:t>
      </w:r>
      <w:r>
        <w:rPr>
          <w:rFonts w:hint="default" w:ascii="宋体-简" w:hAnsi="宋体-简" w:eastAsia="宋体-简" w:cs="宋体-简"/>
          <w:b w:val="0"/>
          <w:spacing w:val="-1"/>
          <w:kern w:val="2"/>
          <w:sz w:val="24"/>
          <w:szCs w:val="24"/>
          <w:lang w:val="en-US" w:eastAsia="zh-CN" w:bidi="ar-SA"/>
        </w:rPr>
        <w:t>。实现</w:t>
      </w:r>
      <w:r>
        <w:rPr>
          <w:rFonts w:hint="eastAsia" w:ascii="宋体-简" w:hAnsi="宋体-简" w:eastAsia="宋体-简" w:cs="宋体-简"/>
          <w:b w:val="0"/>
          <w:spacing w:val="-1"/>
          <w:kern w:val="2"/>
          <w:sz w:val="24"/>
          <w:szCs w:val="24"/>
          <w:lang w:val="en-US" w:eastAsia="zh-CN" w:bidi="ar-SA"/>
        </w:rPr>
        <w:t>泵站数据的采集、下控</w:t>
      </w:r>
      <w:r>
        <w:rPr>
          <w:rFonts w:hint="default" w:ascii="宋体-简" w:hAnsi="宋体-简" w:eastAsia="宋体-简" w:cs="宋体-简"/>
          <w:b w:val="0"/>
          <w:spacing w:val="-1"/>
          <w:kern w:val="2"/>
          <w:sz w:val="24"/>
          <w:szCs w:val="24"/>
          <w:lang w:val="en-US" w:eastAsia="zh-CN" w:bidi="ar-SA"/>
        </w:rPr>
        <w:t>、</w:t>
      </w:r>
      <w:r>
        <w:rPr>
          <w:rFonts w:hint="eastAsia" w:ascii="宋体-简" w:hAnsi="宋体-简" w:eastAsia="宋体-简" w:cs="宋体-简"/>
          <w:b w:val="0"/>
          <w:spacing w:val="-1"/>
          <w:kern w:val="2"/>
          <w:sz w:val="24"/>
          <w:szCs w:val="24"/>
          <w:lang w:val="en-US" w:eastAsia="zh-CN" w:bidi="ar-SA"/>
        </w:rPr>
        <w:t>控制各级泵站的联动运行等功能，</w:t>
      </w:r>
      <w:r>
        <w:rPr>
          <w:rFonts w:hint="default" w:ascii="宋体-简" w:hAnsi="宋体-简" w:eastAsia="宋体-简" w:cs="宋体-简"/>
          <w:b w:val="0"/>
          <w:spacing w:val="-1"/>
          <w:kern w:val="2"/>
          <w:sz w:val="24"/>
          <w:szCs w:val="24"/>
          <w:lang w:val="en-US" w:eastAsia="zh-CN" w:bidi="ar-SA"/>
        </w:rPr>
        <w:t>同时</w:t>
      </w:r>
      <w:r>
        <w:rPr>
          <w:rFonts w:hint="eastAsia" w:ascii="宋体-简" w:hAnsi="宋体-简" w:eastAsia="宋体-简" w:cs="宋体-简"/>
          <w:b w:val="0"/>
          <w:spacing w:val="-1"/>
          <w:kern w:val="2"/>
          <w:sz w:val="24"/>
          <w:szCs w:val="24"/>
          <w:lang w:val="en-US" w:eastAsia="zh-CN" w:bidi="ar-SA"/>
        </w:rPr>
        <w:t>运维系统</w:t>
      </w:r>
      <w:r>
        <w:rPr>
          <w:rFonts w:hint="default" w:ascii="宋体-简" w:hAnsi="宋体-简" w:eastAsia="宋体-简" w:cs="宋体-简"/>
          <w:b w:val="0"/>
          <w:spacing w:val="-1"/>
          <w:kern w:val="2"/>
          <w:sz w:val="24"/>
          <w:szCs w:val="24"/>
          <w:lang w:val="en-US" w:eastAsia="zh-CN" w:bidi="ar-SA"/>
        </w:rPr>
        <w:t>可以</w:t>
      </w:r>
      <w:r>
        <w:rPr>
          <w:rFonts w:hint="eastAsia" w:ascii="宋体-简" w:hAnsi="宋体-简" w:eastAsia="宋体-简" w:cs="宋体-简"/>
          <w:b w:val="0"/>
          <w:spacing w:val="-1"/>
          <w:kern w:val="2"/>
          <w:sz w:val="24"/>
          <w:szCs w:val="24"/>
          <w:lang w:val="en-US" w:eastAsia="zh-CN" w:bidi="ar-SA"/>
        </w:rPr>
        <w:t>通过数据处理分析，协助水司对泵站实行数据化管理功能。</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3、建立</w:t>
      </w:r>
      <w:r>
        <w:rPr>
          <w:rFonts w:hint="eastAsia" w:ascii="宋体-简" w:hAnsi="宋体-简" w:eastAsia="宋体-简" w:cs="宋体-简"/>
          <w:b w:val="0"/>
          <w:spacing w:val="-1"/>
          <w:kern w:val="2"/>
          <w:sz w:val="24"/>
          <w:szCs w:val="24"/>
          <w:lang w:val="en-US" w:eastAsia="zh-CN" w:bidi="ar-SA"/>
        </w:rPr>
        <w:t>管网地理信息系统</w:t>
      </w:r>
      <w:r>
        <w:rPr>
          <w:rFonts w:hint="default" w:ascii="宋体-简" w:hAnsi="宋体-简" w:eastAsia="宋体-简" w:cs="宋体-简"/>
          <w:b w:val="0"/>
          <w:spacing w:val="-1"/>
          <w:kern w:val="2"/>
          <w:sz w:val="24"/>
          <w:szCs w:val="24"/>
          <w:lang w:val="en-US" w:eastAsia="zh-CN" w:bidi="ar-SA"/>
        </w:rPr>
        <w:t>(GIS系统)，集成</w:t>
      </w:r>
      <w:r>
        <w:rPr>
          <w:rFonts w:hint="eastAsia" w:ascii="宋体-简" w:hAnsi="宋体-简" w:eastAsia="宋体-简" w:cs="宋体-简"/>
          <w:b w:val="0"/>
          <w:spacing w:val="-1"/>
          <w:kern w:val="2"/>
          <w:sz w:val="24"/>
          <w:szCs w:val="24"/>
          <w:lang w:val="en-US" w:eastAsia="zh-CN" w:bidi="ar-SA"/>
        </w:rPr>
        <w:t>地理空间框架数据、管网数据、基础地形图数据、地理编码数据等多种数据资源，实现对管网</w:t>
      </w:r>
      <w:r>
        <w:rPr>
          <w:rFonts w:hint="default" w:ascii="宋体-简" w:hAnsi="宋体-简" w:eastAsia="宋体-简" w:cs="宋体-简"/>
          <w:b w:val="0"/>
          <w:spacing w:val="-1"/>
          <w:kern w:val="2"/>
          <w:sz w:val="24"/>
          <w:szCs w:val="24"/>
          <w:lang w:val="en-US" w:eastAsia="zh-CN" w:bidi="ar-SA"/>
        </w:rPr>
        <w:t>上</w:t>
      </w:r>
      <w:r>
        <w:rPr>
          <w:rFonts w:hint="eastAsia" w:ascii="宋体-简" w:hAnsi="宋体-简" w:eastAsia="宋体-简" w:cs="宋体-简"/>
          <w:b w:val="0"/>
          <w:spacing w:val="-1"/>
          <w:kern w:val="2"/>
          <w:sz w:val="24"/>
          <w:szCs w:val="24"/>
          <w:lang w:val="en-US" w:eastAsia="zh-CN" w:bidi="ar-SA"/>
        </w:rPr>
        <w:t>各种设施</w:t>
      </w:r>
      <w:r>
        <w:rPr>
          <w:rFonts w:hint="default" w:ascii="宋体-简" w:hAnsi="宋体-简" w:eastAsia="宋体-简" w:cs="宋体-简"/>
          <w:b w:val="0"/>
          <w:spacing w:val="-1"/>
          <w:kern w:val="2"/>
          <w:sz w:val="24"/>
          <w:szCs w:val="24"/>
          <w:lang w:val="en-US" w:eastAsia="zh-CN" w:bidi="ar-SA"/>
        </w:rPr>
        <w:t>的智能管护。</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4、建立</w:t>
      </w:r>
      <w:r>
        <w:rPr>
          <w:rFonts w:hint="eastAsia" w:ascii="宋体-简" w:hAnsi="宋体-简" w:eastAsia="宋体-简" w:cs="宋体-简"/>
          <w:b w:val="0"/>
          <w:spacing w:val="-1"/>
          <w:kern w:val="2"/>
          <w:sz w:val="24"/>
          <w:szCs w:val="24"/>
          <w:lang w:val="en-US" w:eastAsia="zh-CN" w:bidi="ar-SA"/>
        </w:rPr>
        <w:t>供水综合联动调度系统</w:t>
      </w:r>
      <w:r>
        <w:rPr>
          <w:rFonts w:hint="default" w:ascii="宋体-简" w:hAnsi="宋体-简" w:eastAsia="宋体-简" w:cs="宋体-简"/>
          <w:b w:val="0"/>
          <w:spacing w:val="-1"/>
          <w:kern w:val="2"/>
          <w:sz w:val="24"/>
          <w:szCs w:val="24"/>
          <w:lang w:val="en-US" w:eastAsia="zh-CN" w:bidi="ar-SA"/>
        </w:rPr>
        <w:t>，将</w:t>
      </w:r>
      <w:r>
        <w:rPr>
          <w:rFonts w:hint="eastAsia" w:ascii="宋体-简" w:hAnsi="宋体-简" w:eastAsia="宋体-简" w:cs="宋体-简"/>
          <w:b w:val="0"/>
          <w:spacing w:val="-1"/>
          <w:kern w:val="2"/>
          <w:sz w:val="24"/>
          <w:szCs w:val="24"/>
          <w:lang w:val="en-US" w:eastAsia="zh-CN" w:bidi="ar-SA"/>
        </w:rPr>
        <w:t>德安县</w:t>
      </w:r>
      <w:r>
        <w:rPr>
          <w:rFonts w:hint="default" w:ascii="宋体-简" w:hAnsi="宋体-简" w:eastAsia="宋体-简" w:cs="宋体-简"/>
          <w:b w:val="0"/>
          <w:spacing w:val="-1"/>
          <w:kern w:val="2"/>
          <w:sz w:val="24"/>
          <w:szCs w:val="24"/>
          <w:lang w:val="en-US" w:eastAsia="zh-CN" w:bidi="ar-SA"/>
        </w:rPr>
        <w:t>下辖的水厂、加压泵站进行采集接入到系统，</w:t>
      </w:r>
      <w:r>
        <w:rPr>
          <w:rFonts w:hint="eastAsia" w:ascii="宋体-简" w:hAnsi="宋体-简" w:eastAsia="宋体-简" w:cs="宋体-简"/>
          <w:b w:val="0"/>
          <w:spacing w:val="-1"/>
          <w:kern w:val="2"/>
          <w:sz w:val="24"/>
          <w:szCs w:val="24"/>
          <w:lang w:val="en-US" w:eastAsia="zh-CN" w:bidi="ar-SA"/>
        </w:rPr>
        <w:t>实现德安县自来水公司对供水管理全过程的统一</w:t>
      </w:r>
      <w:r>
        <w:rPr>
          <w:rFonts w:hint="default" w:ascii="宋体-简" w:hAnsi="宋体-简" w:eastAsia="宋体-简" w:cs="宋体-简"/>
          <w:b w:val="0"/>
          <w:spacing w:val="-1"/>
          <w:kern w:val="2"/>
          <w:sz w:val="24"/>
          <w:szCs w:val="24"/>
          <w:lang w:val="en-US" w:eastAsia="zh-CN" w:bidi="ar-SA"/>
        </w:rPr>
        <w:t>科学</w:t>
      </w:r>
      <w:r>
        <w:rPr>
          <w:rFonts w:hint="eastAsia" w:ascii="宋体-简" w:hAnsi="宋体-简" w:eastAsia="宋体-简" w:cs="宋体-简"/>
          <w:b w:val="0"/>
          <w:spacing w:val="-1"/>
          <w:kern w:val="2"/>
          <w:sz w:val="24"/>
          <w:szCs w:val="24"/>
          <w:lang w:val="en-US" w:eastAsia="zh-CN" w:bidi="ar-SA"/>
        </w:rPr>
        <w:t>调度</w:t>
      </w:r>
      <w:r>
        <w:rPr>
          <w:rFonts w:hint="default" w:ascii="宋体-简" w:hAnsi="宋体-简" w:eastAsia="宋体-简" w:cs="宋体-简"/>
          <w:b w:val="0"/>
          <w:spacing w:val="-1"/>
          <w:kern w:val="2"/>
          <w:sz w:val="24"/>
          <w:szCs w:val="24"/>
          <w:lang w:val="en-US" w:eastAsia="zh-CN" w:bidi="ar-SA"/>
        </w:rPr>
        <w:t>。</w:t>
      </w:r>
    </w:p>
    <w:p>
      <w:pPr>
        <w:spacing w:line="360" w:lineRule="auto"/>
        <w:ind w:firstLine="476" w:firstLineChars="200"/>
        <w:rPr>
          <w:rFonts w:hint="eastAsia"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5、建立漏损管理系统，</w:t>
      </w:r>
      <w:r>
        <w:rPr>
          <w:rFonts w:hint="eastAsia" w:ascii="宋体-简" w:hAnsi="宋体-简" w:eastAsia="宋体-简" w:cs="宋体-简"/>
          <w:b w:val="0"/>
          <w:spacing w:val="-1"/>
          <w:kern w:val="2"/>
          <w:sz w:val="24"/>
          <w:szCs w:val="24"/>
          <w:lang w:val="en-US" w:eastAsia="zh-CN" w:bidi="ar-SA"/>
        </w:rPr>
        <w:t>在供水管网上安装压力、流量在线监测仪表，实现 DMA 分区管理，数据接入</w:t>
      </w:r>
      <w:r>
        <w:rPr>
          <w:rFonts w:hint="default" w:ascii="宋体-简" w:hAnsi="宋体-简" w:eastAsia="宋体-简" w:cs="宋体-简"/>
          <w:b w:val="0"/>
          <w:spacing w:val="-1"/>
          <w:kern w:val="2"/>
          <w:sz w:val="24"/>
          <w:szCs w:val="24"/>
          <w:lang w:val="en-US" w:eastAsia="zh-CN" w:bidi="ar-SA"/>
        </w:rPr>
        <w:t>漏损管理平台</w:t>
      </w:r>
      <w:r>
        <w:rPr>
          <w:rFonts w:hint="eastAsia" w:ascii="宋体-简" w:hAnsi="宋体-简" w:eastAsia="宋体-简" w:cs="宋体-简"/>
          <w:b w:val="0"/>
          <w:spacing w:val="-1"/>
          <w:kern w:val="2"/>
          <w:sz w:val="24"/>
          <w:szCs w:val="24"/>
          <w:lang w:val="en-US" w:eastAsia="zh-CN" w:bidi="ar-SA"/>
        </w:rPr>
        <w:t>，对 DMA 区域的供水量、漏水量、漏损率、售水量、产销差率进行统计。对异常的漏损率和产销差率对应的区域进行告警，为</w:t>
      </w:r>
      <w:r>
        <w:rPr>
          <w:rFonts w:hint="default" w:ascii="宋体-简" w:hAnsi="宋体-简" w:eastAsia="宋体-简" w:cs="宋体-简"/>
          <w:b w:val="0"/>
          <w:spacing w:val="-1"/>
          <w:kern w:val="2"/>
          <w:sz w:val="24"/>
          <w:szCs w:val="24"/>
          <w:lang w:val="en-US" w:eastAsia="zh-CN" w:bidi="ar-SA"/>
        </w:rPr>
        <w:t>降低漏损</w:t>
      </w:r>
      <w:r>
        <w:rPr>
          <w:rFonts w:hint="eastAsia" w:ascii="宋体-简" w:hAnsi="宋体-简" w:eastAsia="宋体-简" w:cs="宋体-简"/>
          <w:b w:val="0"/>
          <w:spacing w:val="-1"/>
          <w:kern w:val="2"/>
          <w:sz w:val="24"/>
          <w:szCs w:val="24"/>
          <w:lang w:val="en-US" w:eastAsia="zh-CN" w:bidi="ar-SA"/>
        </w:rPr>
        <w:t>提供依据。</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6、建立智慧营收客服系统，对用户从申请报装、抄表收费、直至销户的全生命周期进行管理；提升客户的服务体验，降低客户投诉。同时对水表从新购、检定、出入库，安装，换表直至报废的全程进行管理，并能采集不同水表厂商的抄表数据进行统一管理。</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7、建立以数据中台为核心的大数据中心，</w:t>
      </w:r>
      <w:r>
        <w:rPr>
          <w:rFonts w:hint="eastAsia" w:ascii="宋体-简" w:hAnsi="宋体-简" w:eastAsia="宋体-简" w:cs="宋体-简"/>
          <w:b w:val="0"/>
          <w:spacing w:val="-1"/>
          <w:kern w:val="2"/>
          <w:sz w:val="24"/>
          <w:szCs w:val="24"/>
          <w:lang w:val="en-US" w:eastAsia="zh-CN" w:bidi="ar-SA"/>
        </w:rPr>
        <w:t>打通数据孤岛，实现数据集成一体化、数据开发便捷化、数据资产规范化、数据服务流程化</w:t>
      </w:r>
      <w:r>
        <w:rPr>
          <w:rFonts w:hint="default" w:ascii="宋体-简" w:hAnsi="宋体-简" w:eastAsia="宋体-简" w:cs="宋体-简"/>
          <w:b w:val="0"/>
          <w:spacing w:val="-1"/>
          <w:kern w:val="2"/>
          <w:sz w:val="24"/>
          <w:szCs w:val="24"/>
          <w:lang w:val="en-US" w:eastAsia="zh-CN" w:bidi="ar-SA"/>
        </w:rPr>
        <w:t>。通过对基础数据的提取、解析和转化，形成统一分析能力，帮助快速获知业务状况，及时准确作出经营决策。</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8、建立可视化大屏系统，</w:t>
      </w:r>
      <w:r>
        <w:rPr>
          <w:rFonts w:hint="eastAsia" w:ascii="宋体-简" w:hAnsi="宋体-简" w:eastAsia="宋体-简" w:cs="宋体-简"/>
          <w:b w:val="0"/>
          <w:spacing w:val="-1"/>
          <w:kern w:val="2"/>
          <w:sz w:val="24"/>
          <w:szCs w:val="24"/>
          <w:lang w:val="en-US" w:eastAsia="zh-CN" w:bidi="ar-SA"/>
        </w:rPr>
        <w:t>将水务企业日常管理和运营需要的关键数据依托大屏进行展示，满足水务企业管理和对外价值展示的需要。</w:t>
      </w:r>
      <w:r>
        <w:rPr>
          <w:rFonts w:hint="default" w:ascii="宋体-简" w:hAnsi="宋体-简" w:eastAsia="宋体-简" w:cs="宋体-简"/>
          <w:b w:val="0"/>
          <w:spacing w:val="-1"/>
          <w:kern w:val="2"/>
          <w:sz w:val="24"/>
          <w:szCs w:val="24"/>
          <w:lang w:val="en-US" w:eastAsia="zh-CN" w:bidi="ar-SA"/>
        </w:rPr>
        <w:t>通过</w:t>
      </w:r>
      <w:r>
        <w:rPr>
          <w:rFonts w:hint="eastAsia" w:ascii="宋体-简" w:hAnsi="宋体-简" w:eastAsia="宋体-简" w:cs="宋体-简"/>
          <w:b w:val="0"/>
          <w:spacing w:val="-1"/>
          <w:kern w:val="2"/>
          <w:sz w:val="24"/>
          <w:szCs w:val="24"/>
          <w:lang w:val="en-US" w:eastAsia="zh-CN" w:bidi="ar-SA"/>
        </w:rPr>
        <w:t>让关键数据一目了然，使领导快速掌握公司内水务运营状况，减轻管理压力</w:t>
      </w:r>
      <w:r>
        <w:rPr>
          <w:rFonts w:hint="default" w:ascii="宋体-简" w:hAnsi="宋体-简" w:eastAsia="宋体-简" w:cs="宋体-简"/>
          <w:b w:val="0"/>
          <w:spacing w:val="-1"/>
          <w:kern w:val="2"/>
          <w:sz w:val="24"/>
          <w:szCs w:val="24"/>
          <w:lang w:val="en-US" w:eastAsia="zh-CN" w:bidi="ar-SA"/>
        </w:rPr>
        <w:t>。</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9、建立水务</w:t>
      </w:r>
      <w:r>
        <w:rPr>
          <w:rFonts w:hint="eastAsia" w:ascii="宋体-简" w:hAnsi="宋体-简" w:eastAsia="宋体-简" w:cs="宋体-简"/>
          <w:b w:val="0"/>
          <w:spacing w:val="-1"/>
          <w:kern w:val="2"/>
          <w:sz w:val="24"/>
          <w:szCs w:val="24"/>
          <w:lang w:val="en-US" w:eastAsia="zh-CN" w:bidi="ar-SA"/>
        </w:rPr>
        <w:t>一体化业务门户</w:t>
      </w:r>
      <w:r>
        <w:rPr>
          <w:rFonts w:hint="default" w:ascii="宋体-简" w:hAnsi="宋体-简" w:eastAsia="宋体-简" w:cs="宋体-简"/>
          <w:b w:val="0"/>
          <w:spacing w:val="-1"/>
          <w:kern w:val="2"/>
          <w:sz w:val="24"/>
          <w:szCs w:val="24"/>
          <w:lang w:val="en-US" w:eastAsia="zh-CN" w:bidi="ar-SA"/>
        </w:rPr>
        <w:t>，以整合业务系统和主要常用功能的单点登录、业务系统待办事项，整合数据帮助企业汇总统一数据，并利用多种数据分析手段，如指标、报表、BI分析等为客户提供生产、管网、营销业务的辅助经营决策，提高业务处理效率。</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10、建立智慧水务APP，</w:t>
      </w:r>
      <w:r>
        <w:rPr>
          <w:rFonts w:hint="eastAsia" w:ascii="宋体-简" w:hAnsi="宋体-简" w:eastAsia="宋体-简" w:cs="宋体-简"/>
          <w:b w:val="0"/>
          <w:spacing w:val="-1"/>
          <w:kern w:val="2"/>
          <w:sz w:val="24"/>
          <w:szCs w:val="24"/>
          <w:lang w:val="en-US" w:eastAsia="zh-CN" w:bidi="ar-SA"/>
        </w:rPr>
        <w:t>形成从PC到移动设备的整体平台的部署，满足用户随时随地，不用到现场就能通过手机进行生产、输送、水量分配、实时水质、用水、缴费、停断水、故障等的</w:t>
      </w:r>
      <w:r>
        <w:rPr>
          <w:rFonts w:hint="default" w:ascii="宋体-简" w:hAnsi="宋体-简" w:eastAsia="宋体-简" w:cs="宋体-简"/>
          <w:b w:val="0"/>
          <w:spacing w:val="-1"/>
          <w:kern w:val="2"/>
          <w:sz w:val="24"/>
          <w:szCs w:val="24"/>
          <w:lang w:val="en-US" w:eastAsia="zh-CN" w:bidi="ar-SA"/>
        </w:rPr>
        <w:t>一系列操作。</w:t>
      </w:r>
    </w:p>
    <w:p>
      <w:pPr>
        <w:spacing w:line="360" w:lineRule="auto"/>
        <w:ind w:firstLine="476" w:firstLineChars="200"/>
        <w:rPr>
          <w:rFonts w:hint="default" w:ascii="宋体-简" w:hAnsi="宋体-简" w:eastAsia="宋体-简" w:cs="宋体-简"/>
          <w:b w:val="0"/>
          <w:spacing w:val="-1"/>
          <w:kern w:val="2"/>
          <w:sz w:val="24"/>
          <w:szCs w:val="24"/>
          <w:lang w:val="en-US" w:eastAsia="zh-CN" w:bidi="ar-SA"/>
        </w:rPr>
      </w:pPr>
      <w:r>
        <w:rPr>
          <w:rFonts w:hint="default" w:ascii="宋体-简" w:hAnsi="宋体-简" w:eastAsia="宋体-简" w:cs="宋体-简"/>
          <w:b w:val="0"/>
          <w:spacing w:val="-1"/>
          <w:kern w:val="2"/>
          <w:sz w:val="24"/>
          <w:szCs w:val="24"/>
          <w:lang w:val="en-US" w:eastAsia="zh-CN" w:bidi="ar-SA"/>
        </w:rPr>
        <w:t>11、建立安防等保系统，</w:t>
      </w:r>
      <w:r>
        <w:rPr>
          <w:rFonts w:hint="eastAsia" w:ascii="宋体-简" w:hAnsi="宋体-简" w:eastAsia="宋体-简" w:cs="宋体-简"/>
          <w:b w:val="0"/>
          <w:spacing w:val="-1"/>
          <w:kern w:val="2"/>
          <w:sz w:val="24"/>
          <w:szCs w:val="24"/>
          <w:lang w:val="en-US" w:eastAsia="zh-CN" w:bidi="ar-SA"/>
        </w:rPr>
        <w:t>现有网络环境中实际部署的网络安全防护产品较少，存在较大的网络安全隐患，为了在有限的投资条件下，最大限度降低网络攻击风险，设计由一台下一代防火墙和一台安全服务器组成的安全产品方案，在此基础上提供服务，达成网络安全实战效果</w:t>
      </w:r>
      <w:r>
        <w:rPr>
          <w:rFonts w:hint="default" w:ascii="宋体-简" w:hAnsi="宋体-简" w:eastAsia="宋体-简" w:cs="宋体-简"/>
          <w:b w:val="0"/>
          <w:spacing w:val="-1"/>
          <w:kern w:val="2"/>
          <w:sz w:val="24"/>
          <w:szCs w:val="24"/>
          <w:lang w:val="en-US" w:eastAsia="zh-CN" w:bidi="ar-SA"/>
        </w:rPr>
        <w:t>，保障</w:t>
      </w:r>
      <w:r>
        <w:rPr>
          <w:rFonts w:hint="eastAsia" w:ascii="宋体-简" w:hAnsi="宋体-简" w:eastAsia="宋体-简" w:cs="宋体-简"/>
          <w:b w:val="0"/>
          <w:spacing w:val="-1"/>
          <w:kern w:val="2"/>
          <w:sz w:val="24"/>
          <w:szCs w:val="24"/>
          <w:lang w:val="en-US" w:eastAsia="zh-CN" w:bidi="ar-SA"/>
        </w:rPr>
        <w:t>供水客户服务管理系统各子系统在网络、主机、应用和数据等多个层面</w:t>
      </w:r>
      <w:r>
        <w:rPr>
          <w:rFonts w:hint="default" w:ascii="宋体-简" w:hAnsi="宋体-简" w:eastAsia="宋体-简" w:cs="宋体-简"/>
          <w:b w:val="0"/>
          <w:spacing w:val="-1"/>
          <w:kern w:val="2"/>
          <w:sz w:val="24"/>
          <w:szCs w:val="24"/>
          <w:lang w:val="en-US" w:eastAsia="zh-CN" w:bidi="ar-SA"/>
        </w:rPr>
        <w:t>的信息安全</w:t>
      </w:r>
      <w:r>
        <w:rPr>
          <w:rFonts w:hint="eastAsia" w:ascii="宋体-简" w:hAnsi="宋体-简" w:eastAsia="宋体-简" w:cs="宋体-简"/>
          <w:b w:val="0"/>
          <w:spacing w:val="-1"/>
          <w:kern w:val="2"/>
          <w:sz w:val="24"/>
          <w:szCs w:val="24"/>
          <w:lang w:val="en-US" w:eastAsia="zh-CN" w:bidi="ar-SA"/>
        </w:rPr>
        <w:t>。</w:t>
      </w:r>
    </w:p>
    <w:p>
      <w:pPr>
        <w:ind w:firstLine="560" w:firstLineChars="200"/>
        <w:rPr>
          <w:rFonts w:hint="eastAsia"/>
        </w:rPr>
      </w:pPr>
    </w:p>
    <w:p>
      <w:pPr>
        <w:adjustRightInd/>
        <w:snapToGrid/>
        <w:ind w:firstLine="560"/>
        <w:rPr>
          <w:rFonts w:ascii="Times New Roman" w:hAnsi="Times New Roman" w:eastAsia="仿宋"/>
          <w:color w:val="FF0000"/>
          <w:sz w:val="28"/>
          <w:szCs w:val="24"/>
        </w:rPr>
      </w:pP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hint="eastAsia" w:ascii="宋体" w:hAnsi="宋体" w:eastAsia="宋体" w:cs="宋体"/>
          <w:kern w:val="2"/>
          <w:sz w:val="28"/>
          <w:szCs w:val="28"/>
        </w:rPr>
      </w:pPr>
      <w:bookmarkStart w:id="136" w:name="_Toc8918"/>
      <w:bookmarkStart w:id="137" w:name="_Toc11955"/>
      <w:r>
        <w:rPr>
          <w:rFonts w:ascii="Times New Roman" w:hAnsi="Times New Roman" w:eastAsia="仿宋"/>
          <w:kern w:val="2"/>
          <w:sz w:val="28"/>
          <w:szCs w:val="28"/>
        </w:rPr>
        <w:br w:type="page"/>
      </w:r>
      <w:bookmarkStart w:id="138" w:name="_Toc3755"/>
      <w:r>
        <w:rPr>
          <w:rFonts w:hint="eastAsia" w:ascii="宋体" w:hAnsi="宋体" w:eastAsia="宋体" w:cs="宋体"/>
          <w:kern w:val="2"/>
          <w:sz w:val="28"/>
          <w:szCs w:val="28"/>
        </w:rPr>
        <w:t>投资估算与资金筹措</w:t>
      </w:r>
      <w:bookmarkEnd w:id="100"/>
      <w:bookmarkEnd w:id="101"/>
      <w:bookmarkEnd w:id="136"/>
      <w:bookmarkEnd w:id="137"/>
      <w:bookmarkEnd w:id="138"/>
    </w:p>
    <w:p>
      <w:pPr>
        <w:pStyle w:val="5"/>
        <w:rPr>
          <w:rFonts w:hint="eastAsia" w:ascii="宋体" w:hAnsi="宋体" w:eastAsia="宋体" w:cs="宋体"/>
          <w:sz w:val="28"/>
          <w:szCs w:val="28"/>
        </w:rPr>
      </w:pPr>
      <w:bookmarkStart w:id="139" w:name="_Toc19909"/>
      <w:bookmarkStart w:id="140" w:name="_Toc16425"/>
      <w:bookmarkStart w:id="141" w:name="_Toc4736"/>
      <w:r>
        <w:rPr>
          <w:rFonts w:hint="eastAsia" w:ascii="宋体" w:hAnsi="宋体" w:eastAsia="宋体" w:cs="宋体"/>
          <w:sz w:val="28"/>
          <w:szCs w:val="28"/>
        </w:rPr>
        <w:t>投资估算</w:t>
      </w:r>
      <w:bookmarkEnd w:id="139"/>
      <w:bookmarkEnd w:id="140"/>
      <w:bookmarkEnd w:id="141"/>
    </w:p>
    <w:p>
      <w:pPr>
        <w:pStyle w:val="6"/>
        <w:rPr>
          <w:rFonts w:hint="eastAsia"/>
          <w:sz w:val="24"/>
          <w:szCs w:val="24"/>
        </w:rPr>
      </w:pPr>
      <w:bookmarkStart w:id="142" w:name="_Toc4262"/>
      <w:bookmarkStart w:id="143" w:name="_Toc17246"/>
      <w:r>
        <w:rPr>
          <w:rFonts w:hint="eastAsia"/>
          <w:sz w:val="24"/>
          <w:szCs w:val="24"/>
        </w:rPr>
        <w:t>投资估算基本依据</w:t>
      </w:r>
    </w:p>
    <w:p>
      <w:pPr>
        <w:ind w:firstLine="480" w:firstLineChars="200"/>
        <w:rPr>
          <w:rFonts w:hint="eastAsia"/>
          <w:sz w:val="24"/>
        </w:rPr>
      </w:pPr>
      <w:r>
        <w:rPr>
          <w:rFonts w:hint="eastAsia"/>
          <w:sz w:val="24"/>
        </w:rPr>
        <w:t>本工程投资估算以江西省水利厅赣水建管字（2011）234号文发布的《江西省农村水利工程设计概（估）算编制规定》及配套的农村水利工程系列定额为基本依据；参照赣发改农经字(2016)112号文的有关规定，并结合本工程的实际情况进行编制。</w:t>
      </w:r>
    </w:p>
    <w:p>
      <w:pPr>
        <w:ind w:firstLine="480" w:firstLineChars="200"/>
        <w:rPr>
          <w:rFonts w:hint="eastAsia"/>
          <w:sz w:val="24"/>
        </w:rPr>
      </w:pPr>
      <w:r>
        <w:rPr>
          <w:rFonts w:hint="eastAsia"/>
          <w:sz w:val="24"/>
        </w:rPr>
        <w:t>本规划估算编制的价格水平基准期为20</w:t>
      </w:r>
      <w:r>
        <w:rPr>
          <w:rFonts w:hint="eastAsia"/>
          <w:sz w:val="24"/>
          <w:lang w:val="en-US" w:eastAsia="zh-CN"/>
        </w:rPr>
        <w:t>20</w:t>
      </w:r>
      <w:r>
        <w:rPr>
          <w:rFonts w:hint="eastAsia"/>
          <w:sz w:val="24"/>
        </w:rPr>
        <w:t>年。</w:t>
      </w:r>
    </w:p>
    <w:p>
      <w:pPr>
        <w:pStyle w:val="6"/>
        <w:rPr>
          <w:rFonts w:hint="eastAsia"/>
          <w:sz w:val="24"/>
          <w:szCs w:val="24"/>
        </w:rPr>
      </w:pPr>
      <w:r>
        <w:rPr>
          <w:rFonts w:hint="eastAsia"/>
          <w:sz w:val="24"/>
          <w:szCs w:val="24"/>
        </w:rPr>
        <w:t>基础价格</w:t>
      </w:r>
    </w:p>
    <w:p>
      <w:pPr>
        <w:ind w:firstLine="480" w:firstLineChars="200"/>
        <w:rPr>
          <w:rFonts w:hint="eastAsia"/>
          <w:sz w:val="24"/>
        </w:rPr>
      </w:pPr>
      <w:r>
        <w:rPr>
          <w:rFonts w:hint="eastAsia"/>
          <w:sz w:val="24"/>
        </w:rPr>
        <w:t>①人工预算单价，按《江西省农村水利工程设计概（估）算编制规定》（赣水建管字〔2011〕234号）计算。工长8.39元/工时；高级工7.60元/工时；中级工6.73元/工时；初级工5.60元/工时。</w:t>
      </w:r>
    </w:p>
    <w:p>
      <w:pPr>
        <w:ind w:firstLine="480" w:firstLineChars="200"/>
        <w:rPr>
          <w:rFonts w:hint="eastAsia"/>
          <w:sz w:val="24"/>
        </w:rPr>
      </w:pPr>
      <w:r>
        <w:rPr>
          <w:rFonts w:hint="eastAsia"/>
          <w:sz w:val="24"/>
        </w:rPr>
        <w:t>②主要材料预算价格，参照20</w:t>
      </w:r>
      <w:r>
        <w:rPr>
          <w:rFonts w:hint="eastAsia"/>
          <w:sz w:val="24"/>
          <w:lang w:val="en-US" w:eastAsia="zh-CN"/>
        </w:rPr>
        <w:t>20</w:t>
      </w:r>
      <w:r>
        <w:rPr>
          <w:rFonts w:hint="eastAsia"/>
          <w:sz w:val="24"/>
        </w:rPr>
        <w:t>年第四季度的《江西省造价信息》建筑材料指导价，结合</w:t>
      </w:r>
      <w:r>
        <w:rPr>
          <w:rFonts w:hint="eastAsia"/>
          <w:sz w:val="24"/>
          <w:lang w:val="en-US" w:eastAsia="zh-CN"/>
        </w:rPr>
        <w:t>德安县</w:t>
      </w:r>
      <w:r>
        <w:rPr>
          <w:rFonts w:hint="eastAsia"/>
          <w:sz w:val="24"/>
        </w:rPr>
        <w:t xml:space="preserve">不同工程的具体情况综合考虑，主要材料基价按有关文件执行。（见材料预算价格表） </w:t>
      </w:r>
    </w:p>
    <w:p>
      <w:pPr>
        <w:ind w:firstLine="480" w:firstLineChars="200"/>
        <w:rPr>
          <w:rFonts w:hint="eastAsia"/>
          <w:sz w:val="24"/>
        </w:rPr>
      </w:pPr>
      <w:r>
        <w:rPr>
          <w:rFonts w:hint="eastAsia"/>
          <w:sz w:val="24"/>
        </w:rPr>
        <w:t>次要材料：参考当地建筑工程造价管理站发布的同一价格水平期工业与民用建筑材料市场价格。</w:t>
      </w:r>
    </w:p>
    <w:p>
      <w:pPr>
        <w:ind w:firstLine="480" w:firstLineChars="200"/>
        <w:rPr>
          <w:rFonts w:hint="eastAsia"/>
          <w:sz w:val="24"/>
        </w:rPr>
      </w:pPr>
      <w:r>
        <w:rPr>
          <w:rFonts w:hint="eastAsia"/>
          <w:sz w:val="24"/>
        </w:rPr>
        <w:t>③主要设备（管材、件）的预算价格，根据设计选用的型号和规格，通过生产厂家或供货单位调查或询价确定原价。（见估算价格表）</w:t>
      </w:r>
    </w:p>
    <w:p>
      <w:pPr>
        <w:pStyle w:val="6"/>
        <w:rPr>
          <w:rFonts w:hint="eastAsia"/>
          <w:sz w:val="24"/>
          <w:szCs w:val="24"/>
        </w:rPr>
      </w:pPr>
      <w:r>
        <w:rPr>
          <w:rFonts w:hint="eastAsia"/>
          <w:sz w:val="24"/>
          <w:szCs w:val="24"/>
        </w:rPr>
        <w:t>建安工程定额采用依据</w:t>
      </w:r>
    </w:p>
    <w:p>
      <w:pPr>
        <w:ind w:firstLine="480" w:firstLineChars="200"/>
        <w:rPr>
          <w:rFonts w:hint="eastAsia" w:ascii="宋体" w:hAnsi="宋体"/>
          <w:sz w:val="24"/>
        </w:rPr>
      </w:pPr>
      <w:r>
        <w:rPr>
          <w:rFonts w:hint="eastAsia" w:ascii="宋体" w:hAnsi="宋体"/>
          <w:sz w:val="24"/>
        </w:rPr>
        <w:t>①《江西省农村水利工程设计概（估）算编制规定》（2011）</w:t>
      </w:r>
    </w:p>
    <w:p>
      <w:pPr>
        <w:ind w:firstLine="480" w:firstLineChars="200"/>
        <w:rPr>
          <w:rFonts w:hint="eastAsia" w:ascii="宋体" w:hAnsi="宋体"/>
          <w:sz w:val="24"/>
        </w:rPr>
      </w:pPr>
      <w:r>
        <w:rPr>
          <w:rFonts w:hint="eastAsia" w:ascii="宋体" w:hAnsi="宋体"/>
          <w:sz w:val="24"/>
        </w:rPr>
        <w:t>②《江西省农村水利建筑安装工程预算定额》（2011）</w:t>
      </w:r>
    </w:p>
    <w:p>
      <w:pPr>
        <w:ind w:firstLine="480" w:firstLineChars="200"/>
        <w:rPr>
          <w:rFonts w:hint="eastAsia" w:ascii="宋体" w:hAnsi="宋体"/>
          <w:sz w:val="24"/>
        </w:rPr>
      </w:pPr>
      <w:r>
        <w:rPr>
          <w:rFonts w:hint="eastAsia" w:ascii="宋体" w:hAnsi="宋体"/>
          <w:sz w:val="24"/>
        </w:rPr>
        <w:t>③《江西省农村水利工程施工机械台时费定额》（2011）</w:t>
      </w:r>
    </w:p>
    <w:p>
      <w:pPr>
        <w:pStyle w:val="5"/>
        <w:rPr>
          <w:rFonts w:hint="default" w:ascii="宋体" w:hAnsi="宋体" w:eastAsia="宋体" w:cs="宋体"/>
          <w:b/>
          <w:bCs/>
          <w:color w:val="auto"/>
          <w:sz w:val="28"/>
          <w:szCs w:val="28"/>
          <w:lang w:val="en-US" w:eastAsia="zh-CN"/>
        </w:rPr>
      </w:pPr>
      <w:bookmarkStart w:id="144" w:name="_Toc17196"/>
      <w:r>
        <w:rPr>
          <w:rFonts w:hint="eastAsia" w:ascii="宋体" w:hAnsi="宋体" w:eastAsia="宋体" w:cs="宋体"/>
          <w:b/>
          <w:bCs/>
          <w:color w:val="auto"/>
          <w:sz w:val="28"/>
          <w:szCs w:val="28"/>
          <w:lang w:val="en-US" w:eastAsia="zh-CN"/>
        </w:rPr>
        <w:t>工程投资</w:t>
      </w:r>
      <w:bookmarkEnd w:id="144"/>
    </w:p>
    <w:p>
      <w:pPr>
        <w:ind w:firstLine="480" w:firstLineChars="200"/>
        <w:rPr>
          <w:rFonts w:hint="eastAsia" w:ascii="宋体" w:hAnsi="宋体" w:eastAsia="宋体"/>
          <w:color w:val="auto"/>
          <w:sz w:val="24"/>
          <w:lang w:eastAsia="zh-CN"/>
        </w:rPr>
      </w:pPr>
      <w:r>
        <w:rPr>
          <w:rFonts w:hint="eastAsia" w:ascii="宋体" w:hAnsi="宋体"/>
          <w:color w:val="auto"/>
          <w:sz w:val="24"/>
        </w:rPr>
        <w:t>根据</w:t>
      </w:r>
      <w:r>
        <w:rPr>
          <w:rFonts w:hint="eastAsia" w:ascii="宋体" w:hAnsi="宋体"/>
          <w:color w:val="auto"/>
          <w:sz w:val="24"/>
          <w:lang w:val="en-US" w:eastAsia="zh-CN"/>
        </w:rPr>
        <w:t>德安县</w:t>
      </w:r>
      <w:r>
        <w:rPr>
          <w:rFonts w:hint="eastAsia" w:ascii="宋体" w:hAnsi="宋体"/>
          <w:color w:val="auto"/>
          <w:sz w:val="24"/>
        </w:rPr>
        <w:t>实际情况，选取</w:t>
      </w:r>
      <w:r>
        <w:rPr>
          <w:rFonts w:hint="eastAsia" w:ascii="宋体" w:hAnsi="宋体"/>
          <w:color w:val="auto"/>
          <w:sz w:val="24"/>
          <w:lang w:val="en-US" w:eastAsia="zh-CN"/>
        </w:rPr>
        <w:t>已实施的德安县2019年农村饮水安全巩固提升工程配水主管网改造项目</w:t>
      </w:r>
      <w:r>
        <w:rPr>
          <w:rFonts w:hint="eastAsia" w:ascii="宋体" w:hAnsi="宋体" w:eastAsia="宋体" w:cs="宋体"/>
          <w:color w:val="auto"/>
          <w:kern w:val="0"/>
          <w:sz w:val="24"/>
          <w:szCs w:val="24"/>
          <w:lang w:val="en-US" w:eastAsia="zh-CN"/>
        </w:rPr>
        <w:t>、德安县农村饮水安全巩固提升工程（进村入户项目）、</w:t>
      </w:r>
      <w:r>
        <w:rPr>
          <w:rFonts w:hint="eastAsia" w:ascii="宋体" w:hAnsi="宋体"/>
          <w:color w:val="auto"/>
          <w:sz w:val="24"/>
          <w:lang w:val="en-US" w:eastAsia="zh-CN"/>
        </w:rPr>
        <w:t>德安县城乡一体化供水工程——彭山水厂工程</w:t>
      </w:r>
      <w:r>
        <w:rPr>
          <w:rFonts w:hint="eastAsia" w:ascii="宋体" w:hAnsi="宋体"/>
          <w:color w:val="auto"/>
          <w:sz w:val="24"/>
        </w:rPr>
        <w:t>。</w:t>
      </w:r>
      <w:r>
        <w:rPr>
          <w:rFonts w:hint="eastAsia" w:ascii="宋体" w:hAnsi="宋体"/>
          <w:color w:val="auto"/>
          <w:sz w:val="24"/>
          <w:lang w:val="en-US" w:eastAsia="zh-CN"/>
        </w:rPr>
        <w:t>规划总投资按</w:t>
      </w:r>
      <w:r>
        <w:rPr>
          <w:rFonts w:hint="eastAsia" w:ascii="宋体" w:hAnsi="宋体"/>
          <w:color w:val="auto"/>
          <w:sz w:val="24"/>
        </w:rPr>
        <w:t>依据上述工程匡算调查资金需求</w:t>
      </w:r>
      <w:r>
        <w:rPr>
          <w:rFonts w:hint="eastAsia" w:ascii="宋体" w:hAnsi="宋体"/>
          <w:color w:val="auto"/>
          <w:sz w:val="24"/>
          <w:lang w:eastAsia="zh-CN"/>
        </w:rPr>
        <w:t>。</w:t>
      </w:r>
    </w:p>
    <w:p>
      <w:pPr>
        <w:ind w:firstLine="480" w:firstLineChars="200"/>
        <w:rPr>
          <w:rFonts w:hint="eastAsia" w:ascii="宋体" w:hAnsi="宋体"/>
          <w:color w:val="FF0000"/>
          <w:sz w:val="24"/>
        </w:rPr>
      </w:pP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规划至2025年，德安县城乡一体化供水工程总投资为9871.95万元，其中水源取水工程2360.00万元，水源地保护划、立、治60.00万元，水厂投资2250.89万元（包括水质净化设施1069.00万元，消毒设施71.89万元，水质化验室210.00万元，水质状况实时监测430.00万元，自动化监控系统170.00万元），输配水管网工程5097.20万元（包括输配水管网4313.00万元，村内管网784.2万元），计量装置73.86万元（包括进、出厂计量装置4.8万元，入户水表69.06万元）。</w:t>
      </w: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规划至2025年，各工程投资如下：</w:t>
      </w:r>
    </w:p>
    <w:p>
      <w:pPr>
        <w:numPr>
          <w:ilvl w:val="0"/>
          <w:numId w:val="0"/>
        </w:numPr>
        <w:rPr>
          <w:rFonts w:hint="eastAsia" w:ascii="宋体" w:hAnsi="宋体"/>
          <w:color w:val="auto"/>
          <w:sz w:val="24"/>
          <w:lang w:val="en-US" w:eastAsia="zh-CN"/>
        </w:rPr>
      </w:pPr>
      <w:r>
        <w:rPr>
          <w:rFonts w:hint="eastAsia" w:ascii="宋体" w:hAnsi="宋体"/>
          <w:color w:val="auto"/>
          <w:sz w:val="24"/>
          <w:lang w:val="en-US" w:eastAsia="zh-CN"/>
        </w:rPr>
        <w:t xml:space="preserve">    1）、雁家湖水厂，总投资为5324.13万元，其中水源取水工程2300.00万元，水源地保护划、立、治工程0万元，水厂部分投资460.0万元（包括水质净化设施320万元，消毒设施0万元，水质化验室0万元，水质状况实时监测100万元，自动化监控系统40万元），输配水管网工程2545.80万元（包括输配水管网2460.0万元，村内管网85.8万元），计量装置18.33万元（包括进、出厂计量装置3.0万元，入户水表15.33万元）。</w:t>
      </w:r>
    </w:p>
    <w:p>
      <w:pPr>
        <w:ind w:firstLine="480" w:firstLineChars="200"/>
        <w:rPr>
          <w:rFonts w:hint="default" w:ascii="宋体" w:hAnsi="宋体" w:eastAsia="宋体"/>
          <w:color w:val="auto"/>
          <w:sz w:val="24"/>
          <w:lang w:val="en-US" w:eastAsia="zh-CN"/>
        </w:rPr>
      </w:pPr>
      <w:r>
        <w:rPr>
          <w:rFonts w:hint="eastAsia" w:ascii="宋体" w:hAnsi="宋体"/>
          <w:color w:val="auto"/>
          <w:sz w:val="24"/>
          <w:lang w:val="en-US" w:eastAsia="zh-CN"/>
        </w:rPr>
        <w:t>2）、林泉水厂，总投资为205.70万元，其中水源取水工程0万元，水源地保护划、立、治工程0万元，水厂部分投资50万元（包括水质净化设施0万元，消毒设施0万元，水质化验室0万元，水质状况实时监测30万元，自动化监控系统20万元），输配水管网工程151.80万元（包括输配水管网120万元，村内管网31.8万元）；计量装置3.90万元（包括进、出厂计量装置0.3万元，入户水表3.60万元）。</w:t>
      </w: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3）、红桥水厂，总投资为439.65万元，其中水源取水工程0万元，水源地保护划、立、治工程0万元，水厂部分投资45万元（包括水质净化设施0万元，消毒设施0万元，水质化验室0万元，水质状况实时监测30.00万元，自动化监控系统15.00万元），输配水管网工程377.4万元（包括输配水管网264.0万元，村内管网113.4万元），计量装置17.25万元（包括进、出厂计量装置0.3万元，入户水表16.95万元）。</w:t>
      </w: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4）、磨溪水厂，总投资为274.80万元，其中水源取水工程0万元，水源地保护划、立、治工程0万元，水厂部分投资60.00万元（包括水质净化设施0万元，消毒设施0万元，水质化验室0万元，水质状况实时监测30.00万元，自动化监控系统30.00万元），输配水管网工程210.0万元（包括输配水管网150.0万元，村内管网60.0万元），计量装置4.80万元（包括进、出厂计量装置0.3万元，入户水表4.50万元）。</w:t>
      </w:r>
    </w:p>
    <w:p>
      <w:pPr>
        <w:ind w:firstLine="480" w:firstLineChars="200"/>
        <w:rPr>
          <w:rFonts w:hint="default" w:ascii="宋体" w:hAnsi="宋体"/>
          <w:color w:val="auto"/>
          <w:sz w:val="24"/>
          <w:lang w:val="en-US" w:eastAsia="zh-CN"/>
        </w:rPr>
      </w:pPr>
      <w:r>
        <w:rPr>
          <w:rFonts w:hint="eastAsia" w:ascii="宋体" w:hAnsi="宋体"/>
          <w:color w:val="auto"/>
          <w:sz w:val="24"/>
          <w:lang w:val="en-US" w:eastAsia="zh-CN"/>
        </w:rPr>
        <w:t>5）、车桥水厂，总投资为268.50万元，其中水源取水工程0万元，水源地保护划、立、治工程30万元，水厂部分投资45.00万元（包括水质净化设施0万元，消毒设施0万元，水质化验室0万元，水质状况实时监测30.00万元，自动化监控系统15.00万元），输配水管网工程190.2万元（包括输配水管网150.0万元，村内管网40.2万元），计量装置3.3万元（包括进、出厂计量装置0.3万元，入户水表3.0万元）。</w:t>
      </w: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6）、邹桥水厂，总投资为1067.57万元，其中水源取水工程40.0万元，水源地保护划、立、治工程0万元，水厂部分投资550.00万元（包括水质净化设施480.0万元，消毒设施15.0万元，水质化验室10.0万元，水质状况实时监测30.0万元，自动化监控系统15.0万元），输配水管网工程469.2万元（包括输配水管网315.0万元，村内管网154.2万元），计量装置8.37万元（包括进、出厂计量装置0.3万元，入户水表8.07万元）。</w:t>
      </w:r>
    </w:p>
    <w:p>
      <w:pPr>
        <w:ind w:firstLine="480" w:firstLineChars="200"/>
        <w:rPr>
          <w:rFonts w:hint="default"/>
          <w:color w:val="auto"/>
          <w:lang w:val="en-US" w:eastAsia="zh-CN"/>
        </w:rPr>
      </w:pPr>
      <w:r>
        <w:rPr>
          <w:rFonts w:hint="eastAsia" w:ascii="宋体" w:hAnsi="宋体"/>
          <w:color w:val="auto"/>
          <w:sz w:val="24"/>
          <w:lang w:val="en-US" w:eastAsia="zh-CN"/>
        </w:rPr>
        <w:t>7）、彭山水厂，总投资为1963.24万元，其中水源取水工程0万元，水源地保护划、立、治工程0万元，水厂部分投资995.89万元（包括水质净化设施569.0万元，消毒设施56.89万元，水质化验室200.0万元，水质状况实时监测150.0万元，自动化监控系统20.0万元），输配水管网工程960.0万元（包括输配水管网750.0万元，村内管网210.0万元），计量装置7.35万元（包括进、出厂计量装置0.0万元，入户水表7.35万元）。</w:t>
      </w:r>
    </w:p>
    <w:p>
      <w:pPr>
        <w:ind w:firstLine="480" w:firstLineChars="200"/>
        <w:rPr>
          <w:rFonts w:hint="eastAsia" w:ascii="宋体" w:hAnsi="宋体"/>
          <w:color w:val="auto"/>
          <w:sz w:val="24"/>
          <w:lang w:val="en-US" w:eastAsia="zh-CN"/>
        </w:rPr>
      </w:pPr>
      <w:r>
        <w:rPr>
          <w:rFonts w:hint="eastAsia" w:ascii="宋体" w:hAnsi="宋体"/>
          <w:color w:val="auto"/>
          <w:sz w:val="24"/>
          <w:lang w:val="en-US" w:eastAsia="zh-CN"/>
        </w:rPr>
        <w:t>8、塘山水厂，总投资为328.36万元，其中水源取水工程30.0万元，水源取水工程20.0万元，水源地保护划、立、治工程30万元，水厂部分投资45.00万元（包括水质净化设施0万元，消毒设施0万元，水质化验室0万元，水质状况实时监测30.00万元，自动化监控系统15.00万元），输配水管网工程192.80万元（包括输配水管网104.0万元，村内管网88.8万元），计量装置10.56万元（包括进、出厂计量装置0.3万元，入户水表10.26万元）。</w:t>
      </w:r>
    </w:p>
    <w:p>
      <w:pPr>
        <w:pStyle w:val="5"/>
        <w:rPr>
          <w:rFonts w:hint="eastAsia" w:ascii="宋体" w:hAnsi="宋体" w:eastAsia="宋体" w:cs="宋体"/>
          <w:b/>
          <w:bCs/>
          <w:color w:val="auto"/>
          <w:sz w:val="28"/>
          <w:szCs w:val="28"/>
          <w:lang w:val="en-US" w:eastAsia="zh-CN"/>
        </w:rPr>
      </w:pPr>
      <w:bookmarkStart w:id="145" w:name="_Toc18948"/>
      <w:r>
        <w:rPr>
          <w:rFonts w:hint="eastAsia" w:ascii="宋体" w:hAnsi="宋体" w:eastAsia="宋体" w:cs="宋体"/>
          <w:b/>
          <w:bCs/>
          <w:color w:val="auto"/>
          <w:sz w:val="28"/>
          <w:szCs w:val="28"/>
          <w:lang w:val="en-US" w:eastAsia="zh-CN"/>
        </w:rPr>
        <w:t>资金筹措</w:t>
      </w:r>
      <w:bookmarkEnd w:id="142"/>
      <w:bookmarkEnd w:id="143"/>
      <w:bookmarkEnd w:id="145"/>
    </w:p>
    <w:p>
      <w:pPr>
        <w:ind w:firstLine="480" w:firstLineChars="200"/>
        <w:rPr>
          <w:rFonts w:hint="eastAsia" w:ascii="宋体" w:hAnsi="宋体"/>
          <w:color w:val="auto"/>
          <w:sz w:val="24"/>
        </w:rPr>
      </w:pPr>
      <w:r>
        <w:rPr>
          <w:rFonts w:hint="eastAsia" w:ascii="宋体" w:hAnsi="宋体"/>
          <w:color w:val="auto"/>
          <w:sz w:val="24"/>
          <w:lang w:val="en-US" w:eastAsia="zh-CN"/>
        </w:rPr>
        <w:t>自来水工程</w:t>
      </w:r>
      <w:r>
        <w:rPr>
          <w:rFonts w:hint="eastAsia" w:ascii="宋体" w:hAnsi="宋体"/>
          <w:color w:val="auto"/>
          <w:sz w:val="24"/>
        </w:rPr>
        <w:t>属地方事权项目，建设资金以地方筹措为主，中央和省级仅进行一定的补助和支持。各地要充分发挥市场机制，利用地方政府专项债投资、政策性银行贷款、社会融资、地方投资等方式多渠道筹措资金。另外，地方政府要通过规划搭建资金整合平台，统筹好发改、水利、财政、新农村建设、住建、卫生、扶贫和移民等多部门资金，有重点地向农村供水工程建设方面倾斜。</w:t>
      </w:r>
    </w:p>
    <w:p>
      <w:pPr>
        <w:ind w:firstLine="480" w:firstLineChars="200"/>
        <w:rPr>
          <w:rFonts w:hint="eastAsia" w:ascii="宋体" w:hAnsi="宋体"/>
          <w:color w:val="auto"/>
          <w:sz w:val="24"/>
        </w:rPr>
      </w:pPr>
      <w:r>
        <w:rPr>
          <w:rFonts w:hint="eastAsia" w:ascii="宋体" w:hAnsi="宋体"/>
          <w:color w:val="auto"/>
          <w:sz w:val="24"/>
          <w:lang w:val="en-US" w:eastAsia="zh-CN"/>
        </w:rPr>
        <w:t>城乡供水一体化</w:t>
      </w:r>
      <w:r>
        <w:rPr>
          <w:rFonts w:hint="eastAsia" w:ascii="宋体" w:hAnsi="宋体"/>
          <w:color w:val="auto"/>
          <w:sz w:val="24"/>
          <w:lang w:eastAsia="zh-CN"/>
        </w:rPr>
        <w:t>工程为半公益性工程，覆盖面广，投资量大，回报率低。自来水工程除了一次性建设投资意外；日常运营维护，管网的更新改造，都需要非常庞大的资金支持，地方财政经济能力有限，无法独立承担如此庞大的资金开支。本工程需</w:t>
      </w:r>
      <w:r>
        <w:rPr>
          <w:rFonts w:hint="eastAsia" w:ascii="宋体" w:hAnsi="宋体"/>
          <w:color w:val="auto"/>
          <w:sz w:val="24"/>
        </w:rPr>
        <w:t>申请中央补助资金的。</w:t>
      </w: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bookmarkStart w:id="146" w:name="_Toc15927"/>
      <w:bookmarkStart w:id="147" w:name="_Toc30044"/>
      <w:r>
        <w:rPr>
          <w:rFonts w:hint="eastAsia" w:ascii="Times New Roman" w:hAnsi="Times New Roman" w:eastAsia="仿宋"/>
          <w:kern w:val="2"/>
          <w:sz w:val="28"/>
          <w:szCs w:val="28"/>
        </w:rPr>
        <w:br w:type="page"/>
      </w:r>
      <w:bookmarkStart w:id="148" w:name="_Toc17091"/>
      <w:r>
        <w:rPr>
          <w:rFonts w:hint="eastAsia"/>
          <w:b/>
          <w:bCs/>
        </w:rPr>
        <w:t>财务</w:t>
      </w:r>
      <w:r>
        <w:rPr>
          <w:b/>
          <w:bCs/>
        </w:rPr>
        <w:t>分析</w:t>
      </w:r>
      <w:bookmarkEnd w:id="146"/>
      <w:bookmarkEnd w:id="147"/>
      <w:bookmarkEnd w:id="148"/>
    </w:p>
    <w:p>
      <w:pPr>
        <w:pStyle w:val="5"/>
        <w:rPr>
          <w:rFonts w:hint="eastAsia"/>
        </w:rPr>
      </w:pPr>
      <w:bookmarkStart w:id="149" w:name="_Toc444197414"/>
      <w:bookmarkStart w:id="150" w:name="_Toc10595"/>
      <w:r>
        <w:rPr>
          <w:rFonts w:hint="eastAsia"/>
        </w:rPr>
        <w:t>国民经济评价</w:t>
      </w:r>
      <w:bookmarkEnd w:id="149"/>
      <w:bookmarkEnd w:id="150"/>
    </w:p>
    <w:p>
      <w:pPr>
        <w:ind w:firstLine="480" w:firstLineChars="200"/>
        <w:rPr>
          <w:rFonts w:hint="eastAsia"/>
          <w:color w:val="auto"/>
          <w:sz w:val="24"/>
        </w:rPr>
      </w:pPr>
      <w:r>
        <w:rPr>
          <w:rFonts w:hint="eastAsia"/>
          <w:sz w:val="24"/>
        </w:rPr>
        <w:t>本规划经济评价以国家计委、建设部发布的《建设项目经济评价方法与参数》及水利部1994年发布的《水利建设项目经济评价规范》（SL72—94）为依据，主要进行国民经济</w:t>
      </w:r>
      <w:r>
        <w:rPr>
          <w:rFonts w:hint="eastAsia"/>
          <w:color w:val="auto"/>
          <w:sz w:val="24"/>
        </w:rPr>
        <w:t>评价和财务收支分析。</w:t>
      </w:r>
    </w:p>
    <w:p>
      <w:pPr>
        <w:ind w:firstLine="480" w:firstLineChars="200"/>
        <w:rPr>
          <w:rFonts w:hint="eastAsia"/>
          <w:color w:val="auto"/>
          <w:sz w:val="24"/>
        </w:rPr>
      </w:pPr>
      <w:r>
        <w:rPr>
          <w:rFonts w:hint="eastAsia"/>
          <w:color w:val="auto"/>
          <w:sz w:val="24"/>
        </w:rPr>
        <w:t>本次经济评价的有关参数按《水利建设项目经济评价规范》确定如下：</w:t>
      </w:r>
    </w:p>
    <w:p>
      <w:pPr>
        <w:ind w:firstLine="480" w:firstLineChars="200"/>
        <w:rPr>
          <w:rFonts w:hint="eastAsia"/>
          <w:color w:val="auto"/>
          <w:sz w:val="24"/>
        </w:rPr>
      </w:pPr>
      <w:r>
        <w:rPr>
          <w:rFonts w:hint="eastAsia"/>
          <w:color w:val="auto"/>
          <w:sz w:val="24"/>
        </w:rPr>
        <w:t>社会折现率采用8%，全市所有规划工程打捆作为一个整体工程，建设期2年，工程正常运行期参照市政给水工程经济评价的有关规定取20年，计算期22年。折现计算的基准点定为建设期第1年年初，投资、费用和效益按年末发生的结算，费用及效益计算取20</w:t>
      </w:r>
      <w:r>
        <w:rPr>
          <w:rFonts w:hint="eastAsia"/>
          <w:color w:val="auto"/>
          <w:sz w:val="24"/>
          <w:lang w:val="en-US" w:eastAsia="zh-CN"/>
        </w:rPr>
        <w:t>20</w:t>
      </w:r>
      <w:r>
        <w:rPr>
          <w:rFonts w:hint="eastAsia"/>
          <w:color w:val="auto"/>
          <w:sz w:val="24"/>
        </w:rPr>
        <w:t>年初价格水平。</w:t>
      </w:r>
    </w:p>
    <w:p>
      <w:pPr>
        <w:pStyle w:val="6"/>
        <w:rPr>
          <w:rFonts w:hint="eastAsia"/>
          <w:color w:val="auto"/>
          <w:sz w:val="24"/>
          <w:szCs w:val="24"/>
        </w:rPr>
      </w:pPr>
      <w:r>
        <w:rPr>
          <w:rFonts w:hint="eastAsia"/>
          <w:color w:val="auto"/>
          <w:sz w:val="24"/>
          <w:szCs w:val="24"/>
        </w:rPr>
        <w:t>费用计算</w:t>
      </w:r>
    </w:p>
    <w:p>
      <w:pPr>
        <w:ind w:firstLine="480" w:firstLineChars="200"/>
        <w:rPr>
          <w:rFonts w:hint="eastAsia"/>
          <w:color w:val="auto"/>
          <w:sz w:val="24"/>
        </w:rPr>
      </w:pPr>
      <w:r>
        <w:rPr>
          <w:rFonts w:hint="eastAsia"/>
          <w:color w:val="auto"/>
          <w:sz w:val="24"/>
        </w:rPr>
        <w:t>（1）工程投资</w:t>
      </w:r>
    </w:p>
    <w:p>
      <w:pPr>
        <w:ind w:firstLine="480" w:firstLineChars="200"/>
        <w:rPr>
          <w:rFonts w:hint="eastAsia"/>
          <w:color w:val="auto"/>
          <w:sz w:val="24"/>
        </w:rPr>
      </w:pPr>
      <w:r>
        <w:rPr>
          <w:rFonts w:hint="eastAsia"/>
          <w:color w:val="auto"/>
          <w:sz w:val="24"/>
        </w:rPr>
        <w:t>如前所述，</w:t>
      </w:r>
      <w:r>
        <w:rPr>
          <w:rFonts w:hint="eastAsia"/>
          <w:color w:val="auto"/>
          <w:sz w:val="24"/>
          <w:lang w:eastAsia="zh-CN"/>
        </w:rPr>
        <w:t>规划至</w:t>
      </w:r>
      <w:r>
        <w:rPr>
          <w:rFonts w:hint="eastAsia"/>
          <w:color w:val="auto"/>
          <w:sz w:val="24"/>
          <w:lang w:val="en-US" w:eastAsia="zh-CN"/>
        </w:rPr>
        <w:t>2025年，</w:t>
      </w:r>
      <w:r>
        <w:rPr>
          <w:rFonts w:hint="eastAsia"/>
          <w:color w:val="auto"/>
          <w:sz w:val="24"/>
        </w:rPr>
        <w:t>本次</w:t>
      </w:r>
      <w:r>
        <w:rPr>
          <w:rFonts w:hint="eastAsia"/>
          <w:color w:val="auto"/>
          <w:sz w:val="24"/>
          <w:lang w:eastAsia="zh-CN"/>
        </w:rPr>
        <w:t>德安县</w:t>
      </w:r>
      <w:r>
        <w:rPr>
          <w:rFonts w:hint="eastAsia"/>
          <w:color w:val="auto"/>
          <w:sz w:val="24"/>
        </w:rPr>
        <w:t>的工程总投资为</w:t>
      </w:r>
      <w:r>
        <w:rPr>
          <w:rFonts w:hint="eastAsia"/>
          <w:color w:val="auto"/>
          <w:sz w:val="24"/>
          <w:lang w:val="en-US" w:eastAsia="zh-CN"/>
        </w:rPr>
        <w:t>9871.95</w:t>
      </w:r>
      <w:r>
        <w:rPr>
          <w:rFonts w:hint="eastAsia"/>
          <w:color w:val="auto"/>
          <w:sz w:val="24"/>
        </w:rPr>
        <w:t>万元。</w:t>
      </w:r>
    </w:p>
    <w:p>
      <w:pPr>
        <w:ind w:firstLine="480" w:firstLineChars="200"/>
        <w:rPr>
          <w:rFonts w:hint="eastAsia"/>
          <w:color w:val="auto"/>
          <w:sz w:val="24"/>
        </w:rPr>
      </w:pPr>
      <w:r>
        <w:rPr>
          <w:rFonts w:hint="eastAsia"/>
          <w:color w:val="auto"/>
          <w:sz w:val="24"/>
        </w:rPr>
        <w:t>（2）年运行费</w:t>
      </w:r>
    </w:p>
    <w:p>
      <w:pPr>
        <w:ind w:firstLine="480" w:firstLineChars="200"/>
        <w:rPr>
          <w:rFonts w:hint="eastAsia"/>
          <w:color w:val="auto"/>
          <w:sz w:val="24"/>
        </w:rPr>
      </w:pPr>
      <w:r>
        <w:rPr>
          <w:rFonts w:hint="eastAsia"/>
          <w:color w:val="auto"/>
          <w:sz w:val="24"/>
        </w:rPr>
        <w:t xml:space="preserve">年运行费包括水资源费、药剂费、电费、工资及福利费、日常检修维护费、管理及其他费等各项费用。本规划按工程总投资的3.5%进行简化计算。流动资金包括维持项目正常运行所需购买燃料、材料、备品、备件和支付职工工资等周转资金，流动资金按年运行费的10%考虑。 </w:t>
      </w:r>
    </w:p>
    <w:p>
      <w:pPr>
        <w:pStyle w:val="6"/>
        <w:rPr>
          <w:rFonts w:hint="eastAsia"/>
          <w:color w:val="auto"/>
          <w:sz w:val="24"/>
          <w:szCs w:val="24"/>
        </w:rPr>
      </w:pPr>
      <w:r>
        <w:rPr>
          <w:rFonts w:hint="eastAsia"/>
          <w:color w:val="auto"/>
          <w:sz w:val="24"/>
          <w:szCs w:val="24"/>
        </w:rPr>
        <w:t>效益分析</w:t>
      </w:r>
    </w:p>
    <w:p>
      <w:pPr>
        <w:ind w:firstLine="480" w:firstLineChars="200"/>
        <w:rPr>
          <w:rFonts w:hint="eastAsia"/>
          <w:color w:val="auto"/>
          <w:sz w:val="24"/>
        </w:rPr>
      </w:pPr>
      <w:r>
        <w:rPr>
          <w:rFonts w:hint="eastAsia"/>
          <w:color w:val="auto"/>
          <w:sz w:val="24"/>
        </w:rPr>
        <w:t>国民经济评价中城镇供水效益不同于销售收入，也不同于一般工业项目对销售收入的调整。而应计算向城镇工矿企业和居民生活提供生产生活用水可获得的经济效益。本规划</w:t>
      </w:r>
      <w:r>
        <w:rPr>
          <w:rFonts w:hint="eastAsia"/>
          <w:color w:val="auto"/>
          <w:sz w:val="24"/>
          <w:lang w:eastAsia="zh-CN"/>
        </w:rPr>
        <w:t>德安县</w:t>
      </w:r>
      <w:r>
        <w:rPr>
          <w:rFonts w:hint="eastAsia"/>
          <w:color w:val="auto"/>
          <w:sz w:val="24"/>
        </w:rPr>
        <w:t>年供水量</w:t>
      </w:r>
      <w:r>
        <w:rPr>
          <w:rFonts w:hint="eastAsia"/>
          <w:color w:val="auto"/>
          <w:sz w:val="24"/>
          <w:lang w:val="en-US" w:eastAsia="zh-CN"/>
        </w:rPr>
        <w:t>1082.0</w:t>
      </w:r>
      <w:r>
        <w:rPr>
          <w:rFonts w:hint="eastAsia"/>
          <w:color w:val="auto"/>
          <w:sz w:val="24"/>
        </w:rPr>
        <w:t>万m</w:t>
      </w:r>
      <w:r>
        <w:rPr>
          <w:rFonts w:hint="eastAsia"/>
          <w:color w:val="auto"/>
          <w:sz w:val="24"/>
          <w:vertAlign w:val="superscript"/>
        </w:rPr>
        <w:t>3</w:t>
      </w:r>
      <w:r>
        <w:rPr>
          <w:rFonts w:hint="eastAsia"/>
          <w:color w:val="auto"/>
          <w:sz w:val="24"/>
        </w:rPr>
        <w:t>，</w:t>
      </w:r>
      <w:r>
        <w:rPr>
          <w:rFonts w:hint="eastAsia"/>
          <w:color w:val="auto"/>
          <w:sz w:val="24"/>
          <w:lang w:eastAsia="zh-CN"/>
        </w:rPr>
        <w:t>德安县</w:t>
      </w:r>
      <w:r>
        <w:rPr>
          <w:rFonts w:hint="eastAsia"/>
          <w:color w:val="auto"/>
          <w:sz w:val="24"/>
        </w:rPr>
        <w:t>现行自来水价为1.</w:t>
      </w:r>
      <w:r>
        <w:rPr>
          <w:rFonts w:hint="eastAsia"/>
          <w:color w:val="auto"/>
          <w:sz w:val="24"/>
          <w:lang w:val="en-US" w:eastAsia="zh-CN"/>
        </w:rPr>
        <w:t>6</w:t>
      </w:r>
      <w:r>
        <w:rPr>
          <w:rFonts w:hint="eastAsia"/>
          <w:color w:val="auto"/>
          <w:sz w:val="24"/>
        </w:rPr>
        <w:t>元，经济评价采用影子价格，影子价格按现行自来水价</w:t>
      </w:r>
      <w:r>
        <w:rPr>
          <w:rFonts w:hint="eastAsia"/>
          <w:color w:val="auto"/>
          <w:sz w:val="24"/>
          <w:lang w:val="en-US" w:eastAsia="zh-CN"/>
        </w:rPr>
        <w:t>1.5</w:t>
      </w:r>
      <w:r>
        <w:rPr>
          <w:rFonts w:hint="eastAsia"/>
          <w:color w:val="auto"/>
          <w:sz w:val="24"/>
        </w:rPr>
        <w:t>倍计，单方城镇供水效益为</w:t>
      </w:r>
      <w:r>
        <w:rPr>
          <w:rFonts w:hint="eastAsia"/>
          <w:color w:val="auto"/>
          <w:sz w:val="24"/>
          <w:lang w:val="en-US" w:eastAsia="zh-CN"/>
        </w:rPr>
        <w:t>2.4</w:t>
      </w:r>
      <w:r>
        <w:rPr>
          <w:rFonts w:hint="eastAsia"/>
          <w:color w:val="auto"/>
          <w:sz w:val="24"/>
        </w:rPr>
        <w:t>元，此工程年供水效益为</w:t>
      </w:r>
      <w:r>
        <w:rPr>
          <w:rFonts w:hint="eastAsia"/>
          <w:color w:val="auto"/>
          <w:sz w:val="24"/>
          <w:lang w:val="en-US" w:eastAsia="zh-CN"/>
        </w:rPr>
        <w:t>2596.8</w:t>
      </w:r>
      <w:r>
        <w:rPr>
          <w:rFonts w:hint="eastAsia"/>
          <w:color w:val="auto"/>
          <w:sz w:val="24"/>
        </w:rPr>
        <w:t>万元。</w:t>
      </w:r>
    </w:p>
    <w:p>
      <w:pPr>
        <w:pStyle w:val="6"/>
        <w:rPr>
          <w:rFonts w:hint="eastAsia"/>
          <w:color w:val="auto"/>
          <w:sz w:val="24"/>
          <w:szCs w:val="24"/>
        </w:rPr>
      </w:pPr>
      <w:r>
        <w:rPr>
          <w:rFonts w:hint="eastAsia"/>
          <w:color w:val="auto"/>
          <w:sz w:val="24"/>
          <w:szCs w:val="24"/>
        </w:rPr>
        <w:t>国民经济评价</w:t>
      </w:r>
    </w:p>
    <w:p>
      <w:pPr>
        <w:ind w:firstLine="480" w:firstLineChars="200"/>
        <w:rPr>
          <w:rFonts w:hint="eastAsia"/>
          <w:color w:val="auto"/>
          <w:sz w:val="24"/>
        </w:rPr>
      </w:pPr>
      <w:r>
        <w:rPr>
          <w:rFonts w:hint="eastAsia"/>
          <w:color w:val="auto"/>
          <w:sz w:val="24"/>
        </w:rPr>
        <w:t>按《规范》中的经济评价计算的原则和方法，经计算，</w:t>
      </w:r>
      <w:r>
        <w:rPr>
          <w:rFonts w:hint="eastAsia"/>
          <w:color w:val="auto"/>
          <w:sz w:val="24"/>
          <w:lang w:eastAsia="zh-CN"/>
        </w:rPr>
        <w:t>德安县</w:t>
      </w:r>
      <w:r>
        <w:rPr>
          <w:rFonts w:hint="eastAsia"/>
          <w:color w:val="auto"/>
          <w:sz w:val="24"/>
        </w:rPr>
        <w:t>城乡一体化工程的国民经济主要评价指标如下：</w:t>
      </w:r>
    </w:p>
    <w:p>
      <w:pPr>
        <w:ind w:firstLine="480" w:firstLineChars="200"/>
        <w:rPr>
          <w:rFonts w:hint="eastAsia"/>
          <w:color w:val="auto"/>
          <w:sz w:val="24"/>
        </w:rPr>
      </w:pPr>
      <w:r>
        <w:rPr>
          <w:rFonts w:hint="eastAsia"/>
          <w:color w:val="auto"/>
          <w:sz w:val="24"/>
        </w:rPr>
        <w:t>国民经济内部收益率：12.55%，</w:t>
      </w:r>
    </w:p>
    <w:p>
      <w:pPr>
        <w:ind w:firstLine="480" w:firstLineChars="200"/>
        <w:rPr>
          <w:rFonts w:hint="eastAsia"/>
          <w:color w:val="auto"/>
          <w:sz w:val="24"/>
        </w:rPr>
      </w:pPr>
      <w:r>
        <w:rPr>
          <w:rFonts w:hint="eastAsia"/>
          <w:color w:val="auto"/>
          <w:sz w:val="24"/>
        </w:rPr>
        <w:t>经济效益费用比：1.29。</w:t>
      </w:r>
    </w:p>
    <w:p>
      <w:pPr>
        <w:pStyle w:val="5"/>
        <w:rPr>
          <w:rFonts w:hint="eastAsia"/>
          <w:color w:val="auto"/>
        </w:rPr>
      </w:pPr>
      <w:bookmarkStart w:id="151" w:name="_Toc22747"/>
      <w:bookmarkStart w:id="152" w:name="_Toc444197415"/>
      <w:r>
        <w:rPr>
          <w:rFonts w:hint="eastAsia"/>
          <w:color w:val="auto"/>
        </w:rPr>
        <w:t>财务分析</w:t>
      </w:r>
      <w:bookmarkEnd w:id="151"/>
      <w:bookmarkEnd w:id="152"/>
    </w:p>
    <w:p>
      <w:pPr>
        <w:pStyle w:val="6"/>
        <w:rPr>
          <w:rFonts w:hint="eastAsia"/>
          <w:color w:val="auto"/>
          <w:sz w:val="24"/>
          <w:szCs w:val="24"/>
        </w:rPr>
      </w:pPr>
      <w:r>
        <w:rPr>
          <w:rFonts w:hint="eastAsia"/>
          <w:color w:val="auto"/>
          <w:sz w:val="24"/>
          <w:szCs w:val="24"/>
        </w:rPr>
        <w:t>费用与税金</w:t>
      </w:r>
    </w:p>
    <w:p>
      <w:pPr>
        <w:ind w:firstLine="480" w:firstLineChars="200"/>
        <w:rPr>
          <w:rFonts w:hint="eastAsia"/>
          <w:color w:val="auto"/>
          <w:sz w:val="24"/>
        </w:rPr>
      </w:pPr>
      <w:r>
        <w:rPr>
          <w:rFonts w:hint="eastAsia"/>
          <w:color w:val="auto"/>
          <w:sz w:val="24"/>
        </w:rPr>
        <w:t>（1）费用</w:t>
      </w:r>
    </w:p>
    <w:p>
      <w:pPr>
        <w:ind w:firstLine="480" w:firstLineChars="200"/>
        <w:rPr>
          <w:rFonts w:hint="eastAsia"/>
          <w:color w:val="auto"/>
          <w:sz w:val="24"/>
        </w:rPr>
      </w:pPr>
      <w:r>
        <w:rPr>
          <w:rFonts w:hint="eastAsia"/>
          <w:color w:val="auto"/>
          <w:sz w:val="24"/>
        </w:rPr>
        <w:t>工程运行总成本费用包括经营成本、利息支出、折旧费和摊销费。经营成本包括：维护费、修理费、材料费、电费、工资及福利支出、其他费用等。</w:t>
      </w:r>
    </w:p>
    <w:p>
      <w:pPr>
        <w:ind w:firstLine="480" w:firstLineChars="200"/>
        <w:rPr>
          <w:rFonts w:hint="eastAsia"/>
          <w:color w:val="auto"/>
          <w:sz w:val="24"/>
        </w:rPr>
      </w:pPr>
      <w:r>
        <w:rPr>
          <w:rFonts w:hint="eastAsia"/>
          <w:color w:val="auto"/>
          <w:sz w:val="24"/>
        </w:rPr>
        <w:t>本规划按工程总投资的3.5%进行简化计算经营成本。折旧费和摊销费按总投资的5%进行简化计算。</w:t>
      </w:r>
    </w:p>
    <w:p>
      <w:pPr>
        <w:ind w:firstLine="480" w:firstLineChars="200"/>
        <w:rPr>
          <w:rFonts w:hint="eastAsia"/>
          <w:color w:val="auto"/>
          <w:sz w:val="24"/>
        </w:rPr>
      </w:pPr>
      <w:r>
        <w:rPr>
          <w:rFonts w:hint="eastAsia"/>
          <w:color w:val="auto"/>
          <w:sz w:val="24"/>
        </w:rPr>
        <w:t>（2）税金</w:t>
      </w:r>
    </w:p>
    <w:p>
      <w:pPr>
        <w:ind w:firstLine="480" w:firstLineChars="200"/>
        <w:rPr>
          <w:rFonts w:hint="eastAsia"/>
          <w:color w:val="auto"/>
          <w:sz w:val="24"/>
        </w:rPr>
      </w:pPr>
      <w:r>
        <w:rPr>
          <w:rFonts w:hint="eastAsia"/>
          <w:color w:val="auto"/>
          <w:sz w:val="24"/>
        </w:rPr>
        <w:t>增值税：6%，</w:t>
      </w:r>
      <w:r>
        <w:rPr>
          <w:rFonts w:hint="eastAsia"/>
          <w:color w:val="auto"/>
          <w:sz w:val="24"/>
          <w:lang w:eastAsia="zh-CN"/>
        </w:rPr>
        <w:t>城市维护建设税</w:t>
      </w:r>
      <w:r>
        <w:rPr>
          <w:rFonts w:hint="eastAsia"/>
          <w:color w:val="auto"/>
          <w:sz w:val="24"/>
        </w:rPr>
        <w:t>：增值税的5%，教育附加税：增值税的3%。</w:t>
      </w:r>
    </w:p>
    <w:p>
      <w:pPr>
        <w:pStyle w:val="6"/>
        <w:rPr>
          <w:rFonts w:hint="eastAsia"/>
          <w:color w:val="auto"/>
          <w:sz w:val="24"/>
          <w:szCs w:val="24"/>
        </w:rPr>
      </w:pPr>
      <w:r>
        <w:rPr>
          <w:rFonts w:hint="eastAsia"/>
          <w:color w:val="auto"/>
          <w:sz w:val="24"/>
          <w:szCs w:val="24"/>
        </w:rPr>
        <w:t>效益</w:t>
      </w:r>
    </w:p>
    <w:p>
      <w:pPr>
        <w:ind w:firstLine="480" w:firstLineChars="200"/>
        <w:rPr>
          <w:rFonts w:hint="eastAsia"/>
          <w:color w:val="auto"/>
          <w:sz w:val="24"/>
        </w:rPr>
      </w:pPr>
      <w:r>
        <w:rPr>
          <w:rFonts w:hint="eastAsia"/>
          <w:color w:val="auto"/>
          <w:sz w:val="24"/>
        </w:rPr>
        <w:t>本项目效益仅有供水收入，</w:t>
      </w:r>
      <w:r>
        <w:rPr>
          <w:rFonts w:hint="eastAsia"/>
          <w:color w:val="auto"/>
          <w:sz w:val="24"/>
          <w:lang w:eastAsia="zh-CN"/>
        </w:rPr>
        <w:t>德安县</w:t>
      </w:r>
      <w:r>
        <w:rPr>
          <w:rFonts w:hint="eastAsia"/>
          <w:color w:val="auto"/>
          <w:sz w:val="24"/>
        </w:rPr>
        <w:t>每年增加供水量</w:t>
      </w:r>
      <w:r>
        <w:rPr>
          <w:rFonts w:hint="eastAsia"/>
          <w:color w:val="auto"/>
          <w:sz w:val="24"/>
          <w:lang w:val="en-US" w:eastAsia="zh-CN"/>
        </w:rPr>
        <w:t>1082.0</w:t>
      </w:r>
      <w:r>
        <w:rPr>
          <w:rFonts w:hint="eastAsia"/>
          <w:color w:val="auto"/>
          <w:sz w:val="24"/>
        </w:rPr>
        <w:t>万m</w:t>
      </w:r>
      <w:r>
        <w:rPr>
          <w:rFonts w:hint="eastAsia"/>
          <w:color w:val="auto"/>
          <w:sz w:val="24"/>
          <w:vertAlign w:val="superscript"/>
        </w:rPr>
        <w:t>3</w:t>
      </w:r>
      <w:r>
        <w:rPr>
          <w:rFonts w:hint="eastAsia"/>
          <w:color w:val="auto"/>
          <w:sz w:val="24"/>
        </w:rPr>
        <w:t>，</w:t>
      </w:r>
      <w:r>
        <w:rPr>
          <w:rFonts w:hint="eastAsia"/>
          <w:color w:val="auto"/>
          <w:sz w:val="24"/>
          <w:lang w:eastAsia="zh-CN"/>
        </w:rPr>
        <w:t>德安县</w:t>
      </w:r>
      <w:r>
        <w:rPr>
          <w:rFonts w:hint="eastAsia"/>
          <w:color w:val="auto"/>
          <w:sz w:val="24"/>
        </w:rPr>
        <w:t>现行自来水价为1.</w:t>
      </w:r>
      <w:r>
        <w:rPr>
          <w:rFonts w:hint="eastAsia"/>
          <w:color w:val="auto"/>
          <w:sz w:val="24"/>
          <w:lang w:val="en-US" w:eastAsia="zh-CN"/>
        </w:rPr>
        <w:t>6</w:t>
      </w:r>
      <w:r>
        <w:rPr>
          <w:rFonts w:hint="eastAsia"/>
          <w:color w:val="auto"/>
          <w:sz w:val="24"/>
        </w:rPr>
        <w:t>元（不含污水处理费），年售水收入为</w:t>
      </w:r>
      <w:r>
        <w:rPr>
          <w:rFonts w:hint="eastAsia"/>
          <w:color w:val="auto"/>
          <w:sz w:val="24"/>
          <w:lang w:val="en-US" w:eastAsia="zh-CN"/>
        </w:rPr>
        <w:t>1731.2</w:t>
      </w:r>
      <w:r>
        <w:rPr>
          <w:rFonts w:hint="eastAsia"/>
          <w:color w:val="auto"/>
          <w:sz w:val="24"/>
        </w:rPr>
        <w:t>万元。</w:t>
      </w:r>
    </w:p>
    <w:p>
      <w:pPr>
        <w:pStyle w:val="6"/>
        <w:rPr>
          <w:rFonts w:hint="eastAsia"/>
          <w:color w:val="auto"/>
          <w:sz w:val="24"/>
          <w:szCs w:val="24"/>
        </w:rPr>
      </w:pPr>
      <w:r>
        <w:rPr>
          <w:rFonts w:hint="eastAsia"/>
          <w:color w:val="auto"/>
          <w:sz w:val="24"/>
          <w:szCs w:val="24"/>
        </w:rPr>
        <w:t>财务分析</w:t>
      </w:r>
    </w:p>
    <w:p>
      <w:pPr>
        <w:ind w:firstLine="480" w:firstLineChars="200"/>
        <w:rPr>
          <w:rFonts w:hint="eastAsia"/>
          <w:color w:val="auto"/>
          <w:sz w:val="24"/>
        </w:rPr>
      </w:pPr>
      <w:r>
        <w:rPr>
          <w:rFonts w:hint="eastAsia"/>
          <w:color w:val="auto"/>
          <w:sz w:val="24"/>
        </w:rPr>
        <w:t>本次按贷款50%、70%二种比例进行测算，长期贷款利率4.90%，其余投资来源于资本金。工程建设期2年，运行期20年、还贷期为10年（自建成后的第一年起计）。</w:t>
      </w:r>
    </w:p>
    <w:p>
      <w:pPr>
        <w:ind w:firstLine="480" w:firstLineChars="200"/>
        <w:rPr>
          <w:rFonts w:hint="eastAsia"/>
          <w:color w:val="auto"/>
          <w:sz w:val="24"/>
        </w:rPr>
      </w:pPr>
      <w:r>
        <w:rPr>
          <w:rFonts w:hint="eastAsia"/>
          <w:color w:val="auto"/>
          <w:sz w:val="24"/>
        </w:rPr>
        <w:t>还贷水价Sj，采用经验公式，根据静态总投资Tz、售水水量Ws进行计算，其计算式为：</w:t>
      </w:r>
    </w:p>
    <w:p>
      <w:pPr>
        <w:ind w:firstLine="480" w:firstLineChars="200"/>
        <w:rPr>
          <w:rFonts w:hint="eastAsia"/>
          <w:color w:val="auto"/>
          <w:sz w:val="24"/>
        </w:rPr>
      </w:pPr>
      <w:r>
        <w:rPr>
          <w:rFonts w:hint="eastAsia"/>
          <w:color w:val="auto"/>
          <w:sz w:val="24"/>
        </w:rPr>
        <w:t>Sj=ζ•Tz/Ws，</w:t>
      </w:r>
    </w:p>
    <w:p>
      <w:pPr>
        <w:ind w:firstLine="480" w:firstLineChars="200"/>
        <w:rPr>
          <w:rFonts w:hint="eastAsia"/>
          <w:color w:val="auto"/>
          <w:sz w:val="24"/>
        </w:rPr>
      </w:pPr>
      <w:r>
        <w:rPr>
          <w:rFonts w:hint="eastAsia"/>
          <w:color w:val="auto"/>
          <w:sz w:val="24"/>
        </w:rPr>
        <w:t>其中ζ为经验系数（当贷款比例为50%时，ζ在0.089～0.094间取值，本规划取0.091；贷款比例为70%时，ζ在0.110～0.126间取值，本规划取0.119）。</w:t>
      </w:r>
    </w:p>
    <w:p>
      <w:pPr>
        <w:ind w:firstLine="480" w:firstLineChars="200"/>
        <w:rPr>
          <w:rFonts w:hint="eastAsia" w:ascii="宋体" w:hAnsi="宋体"/>
          <w:color w:val="auto"/>
          <w:sz w:val="24"/>
        </w:rPr>
      </w:pPr>
      <w:r>
        <w:rPr>
          <w:rFonts w:hint="eastAsia"/>
          <w:color w:val="auto"/>
          <w:sz w:val="24"/>
        </w:rPr>
        <w:t>根据以上公式计算，按贷款50%计，</w:t>
      </w:r>
      <w:r>
        <w:rPr>
          <w:rFonts w:hint="eastAsia"/>
          <w:color w:val="auto"/>
          <w:sz w:val="24"/>
          <w:lang w:eastAsia="zh-CN"/>
        </w:rPr>
        <w:t>德安县</w:t>
      </w:r>
      <w:r>
        <w:rPr>
          <w:rFonts w:hint="eastAsia"/>
          <w:color w:val="auto"/>
          <w:sz w:val="24"/>
        </w:rPr>
        <w:t>全成本水价为1.40元/m</w:t>
      </w:r>
      <w:r>
        <w:rPr>
          <w:rFonts w:hint="eastAsia"/>
          <w:color w:val="auto"/>
          <w:sz w:val="24"/>
          <w:vertAlign w:val="superscript"/>
        </w:rPr>
        <w:t>3</w:t>
      </w:r>
      <w:r>
        <w:rPr>
          <w:rFonts w:hint="eastAsia"/>
          <w:color w:val="auto"/>
          <w:sz w:val="24"/>
        </w:rPr>
        <w:t>；按贷款70%计，</w:t>
      </w:r>
      <w:r>
        <w:rPr>
          <w:rFonts w:hint="eastAsia"/>
          <w:color w:val="auto"/>
          <w:sz w:val="24"/>
          <w:lang w:eastAsia="zh-CN"/>
        </w:rPr>
        <w:t>德安县</w:t>
      </w:r>
      <w:r>
        <w:rPr>
          <w:rFonts w:hint="eastAsia"/>
          <w:color w:val="auto"/>
          <w:sz w:val="24"/>
        </w:rPr>
        <w:t>全成本水价为1.80元/m</w:t>
      </w:r>
      <w:r>
        <w:rPr>
          <w:rFonts w:hint="eastAsia"/>
          <w:color w:val="auto"/>
          <w:sz w:val="24"/>
          <w:vertAlign w:val="superscript"/>
        </w:rPr>
        <w:t>3</w:t>
      </w:r>
      <w:r>
        <w:rPr>
          <w:rFonts w:hint="eastAsia"/>
          <w:color w:val="auto"/>
          <w:sz w:val="24"/>
        </w:rPr>
        <w:t>。</w:t>
      </w:r>
    </w:p>
    <w:p>
      <w:pPr>
        <w:pStyle w:val="5"/>
        <w:rPr>
          <w:rFonts w:hint="eastAsia"/>
          <w:color w:val="auto"/>
        </w:rPr>
      </w:pPr>
      <w:r>
        <w:rPr>
          <w:rFonts w:hint="eastAsia"/>
          <w:color w:val="auto"/>
        </w:rPr>
        <w:t xml:space="preserve"> </w:t>
      </w:r>
      <w:bookmarkStart w:id="153" w:name="_Toc444197416"/>
      <w:bookmarkStart w:id="154" w:name="_Toc24214"/>
      <w:r>
        <w:rPr>
          <w:rFonts w:hint="eastAsia"/>
          <w:color w:val="auto"/>
        </w:rPr>
        <w:t>结论</w:t>
      </w:r>
      <w:bookmarkEnd w:id="153"/>
      <w:bookmarkEnd w:id="154"/>
    </w:p>
    <w:p>
      <w:pPr>
        <w:ind w:firstLine="480" w:firstLineChars="200"/>
        <w:rPr>
          <w:rFonts w:hint="eastAsia"/>
          <w:color w:val="auto"/>
          <w:sz w:val="24"/>
        </w:rPr>
      </w:pPr>
      <w:r>
        <w:rPr>
          <w:rFonts w:hint="eastAsia"/>
          <w:color w:val="auto"/>
          <w:sz w:val="24"/>
        </w:rPr>
        <w:t>经计算，</w:t>
      </w:r>
      <w:r>
        <w:rPr>
          <w:rFonts w:hint="eastAsia"/>
          <w:sz w:val="24"/>
          <w:lang w:val="en-US" w:eastAsia="zh-CN"/>
        </w:rPr>
        <w:t>德安县城乡供水一体化</w:t>
      </w:r>
      <w:r>
        <w:rPr>
          <w:rFonts w:hint="eastAsia"/>
          <w:sz w:val="24"/>
        </w:rPr>
        <w:t>工程</w:t>
      </w:r>
      <w:r>
        <w:rPr>
          <w:rFonts w:hint="eastAsia"/>
          <w:color w:val="auto"/>
          <w:sz w:val="24"/>
        </w:rPr>
        <w:t>经济内部收益率EIRR为12.55%，高于社会折现率（8%），经济效益费用比EBCR为1.29，大于1.0，经济净现值ENPV大于0，因此经济评价可行。</w:t>
      </w:r>
    </w:p>
    <w:p>
      <w:pPr>
        <w:adjustRightInd/>
        <w:snapToGrid/>
        <w:ind w:firstLine="560"/>
        <w:rPr>
          <w:rFonts w:ascii="Times New Roman" w:hAnsi="Times New Roman" w:eastAsia="仿宋"/>
          <w:color w:val="auto"/>
          <w:kern w:val="0"/>
          <w:sz w:val="28"/>
          <w:szCs w:val="28"/>
        </w:rPr>
      </w:pPr>
      <w:r>
        <w:rPr>
          <w:rFonts w:hint="eastAsia"/>
          <w:color w:val="auto"/>
          <w:sz w:val="24"/>
          <w:lang w:eastAsia="zh-CN"/>
        </w:rPr>
        <w:t>自来水</w:t>
      </w:r>
      <w:r>
        <w:rPr>
          <w:rFonts w:hint="eastAsia"/>
          <w:color w:val="auto"/>
          <w:sz w:val="24"/>
        </w:rPr>
        <w:t>工程属于民生工程，经计算</w:t>
      </w:r>
      <w:r>
        <w:rPr>
          <w:rFonts w:hint="eastAsia"/>
          <w:color w:val="auto"/>
          <w:sz w:val="24"/>
          <w:lang w:eastAsia="zh-CN"/>
        </w:rPr>
        <w:t>德安县</w:t>
      </w:r>
      <w:r>
        <w:rPr>
          <w:rFonts w:hint="eastAsia"/>
          <w:color w:val="auto"/>
          <w:sz w:val="24"/>
          <w:lang w:val="en-US" w:eastAsia="zh-CN"/>
        </w:rPr>
        <w:t>城乡供水一体化</w:t>
      </w:r>
      <w:r>
        <w:rPr>
          <w:rFonts w:hint="eastAsia"/>
          <w:color w:val="auto"/>
          <w:sz w:val="24"/>
        </w:rPr>
        <w:t>工程成本水价高于现行水价，当地政府需给予</w:t>
      </w:r>
      <w:r>
        <w:rPr>
          <w:rFonts w:hint="eastAsia"/>
          <w:sz w:val="24"/>
          <w:lang w:val="en-US" w:eastAsia="zh-CN"/>
        </w:rPr>
        <w:t>城乡供水一体化</w:t>
      </w:r>
      <w:r>
        <w:rPr>
          <w:rFonts w:hint="eastAsia"/>
          <w:color w:val="auto"/>
          <w:sz w:val="24"/>
        </w:rPr>
        <w:t>项目优惠政策和建设资金补贴。</w:t>
      </w: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bookmarkStart w:id="155" w:name="_Toc18704"/>
      <w:bookmarkStart w:id="156" w:name="_Toc22472"/>
      <w:r>
        <w:rPr>
          <w:rFonts w:ascii="Times New Roman" w:hAnsi="Times New Roman" w:eastAsia="仿宋"/>
          <w:kern w:val="2"/>
          <w:sz w:val="28"/>
          <w:szCs w:val="28"/>
        </w:rPr>
        <w:br w:type="page"/>
      </w:r>
      <w:bookmarkStart w:id="157" w:name="_Toc5743"/>
      <w:r>
        <w:rPr>
          <w:rFonts w:hint="eastAsia"/>
          <w:b/>
          <w:bCs/>
        </w:rPr>
        <w:t>环境影响评价</w:t>
      </w:r>
      <w:bookmarkEnd w:id="155"/>
      <w:bookmarkEnd w:id="156"/>
      <w:bookmarkEnd w:id="157"/>
    </w:p>
    <w:p>
      <w:pPr>
        <w:pStyle w:val="5"/>
        <w:rPr>
          <w:rFonts w:hint="eastAsia"/>
          <w:bCs/>
        </w:rPr>
      </w:pPr>
      <w:bookmarkStart w:id="158" w:name="_Toc444507533"/>
      <w:bookmarkStart w:id="159" w:name="_Toc343699224"/>
      <w:bookmarkStart w:id="160" w:name="_Toc366569888"/>
      <w:bookmarkStart w:id="161" w:name="_Toc17275"/>
      <w:r>
        <w:rPr>
          <w:rFonts w:hint="eastAsia"/>
          <w:bCs/>
        </w:rPr>
        <w:t>环境现状</w:t>
      </w:r>
      <w:bookmarkEnd w:id="158"/>
      <w:bookmarkEnd w:id="159"/>
      <w:bookmarkEnd w:id="160"/>
      <w:bookmarkEnd w:id="161"/>
    </w:p>
    <w:p>
      <w:pPr>
        <w:tabs>
          <w:tab w:val="left" w:pos="1200"/>
        </w:tabs>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地形地貌</w:t>
      </w:r>
    </w:p>
    <w:p>
      <w:pPr>
        <w:ind w:firstLine="480" w:firstLineChars="200"/>
        <w:rPr>
          <w:rFonts w:hint="eastAsia" w:ascii="宋体" w:hAnsi="宋体"/>
          <w:sz w:val="24"/>
        </w:rPr>
      </w:pPr>
      <w:r>
        <w:rPr>
          <w:rFonts w:hint="eastAsia" w:ascii="宋体" w:hAnsi="宋体"/>
          <w:sz w:val="24"/>
        </w:rPr>
        <w:t>德安县属低山丘陵地区,低山和平原各占19.2%和17.7%。总的地势是：西北高而东南低，西北部有幕阜山脉东延支脉，构成北部地表水的分水岭，南部为岷山山脉，构成南部地表水的分水岭，中部有彭山山脉。塘山茶子山海拔655米（黄海系统，下同），是全县最高峰。东南角倾斜至鄱阳湖滨，形成了本县各地貌类型区域内，土地利用现状和生产上不同特点；西北低山地区，耕地少，且多为垅田，因山高水冷，一般只宜种一季中晚稻，水利条件差；中部广大丘陵区，光热条件比低山区好，土壤熟化程度较高，是我县粮、油主要产区；东南部平原区，地势平坦，土地肥沃，光热水资源较好，是我县粮棉油高产地区。</w:t>
      </w:r>
    </w:p>
    <w:p>
      <w:pPr>
        <w:ind w:firstLine="480" w:firstLineChars="200"/>
        <w:rPr>
          <w:rFonts w:hint="eastAsia" w:ascii="宋体" w:hAnsi="宋体"/>
          <w:sz w:val="24"/>
        </w:rPr>
      </w:pPr>
      <w:r>
        <w:rPr>
          <w:rFonts w:hint="eastAsia" w:ascii="宋体" w:hAnsi="宋体"/>
          <w:sz w:val="24"/>
        </w:rPr>
        <w:t>全县地貌由侵蚀岩溶低山、侵蚀构造低山、构造剥蚀丘陵和侵蚀堆积平原等四个基本地貌组成。</w:t>
      </w:r>
    </w:p>
    <w:p>
      <w:pPr>
        <w:ind w:firstLine="480" w:firstLineChars="200"/>
        <w:rPr>
          <w:rFonts w:hint="eastAsia" w:ascii="宋体" w:hAnsi="宋体"/>
          <w:sz w:val="24"/>
        </w:rPr>
      </w:pPr>
      <w:r>
        <w:rPr>
          <w:rFonts w:hint="eastAsia" w:ascii="宋体" w:hAnsi="宋体"/>
          <w:sz w:val="24"/>
        </w:rPr>
        <w:t>1</w:t>
      </w:r>
      <w:r>
        <w:rPr>
          <w:rFonts w:hint="eastAsia" w:ascii="宋体" w:hAnsi="宋体"/>
          <w:sz w:val="24"/>
          <w:lang w:eastAsia="zh-CN"/>
        </w:rPr>
        <w:t>）</w:t>
      </w:r>
      <w:r>
        <w:rPr>
          <w:rFonts w:hint="eastAsia" w:ascii="宋体" w:hAnsi="宋体"/>
          <w:sz w:val="24"/>
        </w:rPr>
        <w:t>、侵蚀岩溶低山地形：分布于塘山、付山一带，由奥陶系、石炭系、二</w:t>
      </w:r>
      <w:r>
        <w:rPr>
          <w:rFonts w:ascii="等线" w:hAnsi="等线" w:eastAsia="等线" w:cs="等线"/>
          <w:i w:val="0"/>
          <w:iCs w:val="0"/>
          <w:caps w:val="0"/>
          <w:color w:val="000000"/>
          <w:spacing w:val="0"/>
          <w:sz w:val="24"/>
          <w:szCs w:val="24"/>
        </w:rPr>
        <w:t>叠</w:t>
      </w:r>
      <w:r>
        <w:rPr>
          <w:rFonts w:hint="eastAsia" w:ascii="宋体" w:hAnsi="宋体"/>
          <w:sz w:val="24"/>
        </w:rPr>
        <w:t>三</w:t>
      </w:r>
      <w:r>
        <w:rPr>
          <w:rFonts w:ascii="等线" w:hAnsi="等线" w:eastAsia="等线" w:cs="等线"/>
          <w:i w:val="0"/>
          <w:iCs w:val="0"/>
          <w:caps w:val="0"/>
          <w:color w:val="000000"/>
          <w:spacing w:val="0"/>
          <w:sz w:val="24"/>
          <w:szCs w:val="24"/>
        </w:rPr>
        <w:t>叠</w:t>
      </w:r>
      <w:r>
        <w:rPr>
          <w:rFonts w:hint="eastAsia" w:ascii="宋体" w:hAnsi="宋体"/>
          <w:sz w:val="24"/>
        </w:rPr>
        <w:t>灰岩组成，溶洞、溶槽、石芽溶洞、落水洞及暗河分布甚广，但规模不大。</w:t>
      </w:r>
    </w:p>
    <w:p>
      <w:pPr>
        <w:ind w:firstLine="480" w:firstLineChars="200"/>
        <w:rPr>
          <w:rFonts w:hint="eastAsia" w:ascii="宋体" w:hAnsi="宋体"/>
          <w:sz w:val="24"/>
        </w:rPr>
      </w:pPr>
      <w:r>
        <w:rPr>
          <w:rFonts w:hint="eastAsia" w:ascii="宋体" w:hAnsi="宋体"/>
          <w:sz w:val="24"/>
        </w:rPr>
        <w:t>2</w:t>
      </w:r>
      <w:r>
        <w:rPr>
          <w:rFonts w:hint="eastAsia" w:ascii="宋体" w:hAnsi="宋体"/>
          <w:sz w:val="24"/>
          <w:lang w:eastAsia="zh-CN"/>
        </w:rPr>
        <w:t>）</w:t>
      </w:r>
      <w:r>
        <w:rPr>
          <w:rFonts w:hint="eastAsia" w:ascii="宋体" w:hAnsi="宋体"/>
          <w:sz w:val="24"/>
        </w:rPr>
        <w:t>、侵蚀构造低山地形：分布于塘山茶子山一带，山势陡峻，地势较高，侵蚀切割后山顶呈尖锥形，沟谷深切。</w:t>
      </w:r>
    </w:p>
    <w:p>
      <w:pPr>
        <w:ind w:firstLine="480" w:firstLineChars="200"/>
        <w:rPr>
          <w:rFonts w:hint="eastAsia" w:ascii="宋体" w:hAnsi="宋体"/>
          <w:sz w:val="24"/>
        </w:rPr>
      </w:pPr>
      <w:r>
        <w:rPr>
          <w:rFonts w:hint="eastAsia" w:ascii="宋体" w:hAnsi="宋体"/>
          <w:sz w:val="24"/>
        </w:rPr>
        <w:t>3</w:t>
      </w:r>
      <w:r>
        <w:rPr>
          <w:rFonts w:hint="eastAsia" w:ascii="宋体" w:hAnsi="宋体"/>
          <w:sz w:val="24"/>
          <w:lang w:eastAsia="zh-CN"/>
        </w:rPr>
        <w:t>）</w:t>
      </w:r>
      <w:r>
        <w:rPr>
          <w:rFonts w:hint="eastAsia" w:ascii="宋体" w:hAnsi="宋体"/>
          <w:sz w:val="24"/>
        </w:rPr>
        <w:t>、构造剥蚀丘陵地形：县内广布，由元古界板溪群、志留系中下统的粉砂质泥质页岩、砂岩及板岩组成，抗风化能力差，在外力侵蚀下，丘顶呈浑圆状，山坡平缓，坡度在10～30度之间，冲沟发育。</w:t>
      </w:r>
    </w:p>
    <w:p>
      <w:pPr>
        <w:ind w:firstLine="480" w:firstLineChars="200"/>
        <w:rPr>
          <w:rFonts w:hint="eastAsia" w:ascii="宋体" w:hAnsi="宋体"/>
          <w:sz w:val="24"/>
        </w:rPr>
      </w:pPr>
      <w:r>
        <w:rPr>
          <w:rFonts w:hint="eastAsia" w:ascii="宋体" w:hAnsi="宋体"/>
          <w:sz w:val="24"/>
        </w:rPr>
        <w:t>4</w:t>
      </w:r>
      <w:r>
        <w:rPr>
          <w:rFonts w:hint="eastAsia" w:ascii="宋体" w:hAnsi="宋体"/>
          <w:sz w:val="24"/>
          <w:lang w:eastAsia="zh-CN"/>
        </w:rPr>
        <w:t>）</w:t>
      </w:r>
      <w:r>
        <w:rPr>
          <w:rFonts w:hint="eastAsia" w:ascii="宋体" w:hAnsi="宋体"/>
          <w:sz w:val="24"/>
        </w:rPr>
        <w:t>、侵蚀堆积平原地形：分布博阳河两岸，有河谷阶地和岗丘两个亚区。</w:t>
      </w:r>
    </w:p>
    <w:p>
      <w:pPr>
        <w:tabs>
          <w:tab w:val="left" w:pos="1200"/>
        </w:tabs>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气象水文</w:t>
      </w:r>
    </w:p>
    <w:p>
      <w:pPr>
        <w:ind w:firstLine="480" w:firstLineChars="200"/>
        <w:rPr>
          <w:rFonts w:hint="eastAsia" w:ascii="宋体" w:hAnsi="宋体"/>
          <w:sz w:val="24"/>
        </w:rPr>
      </w:pPr>
      <w:r>
        <w:rPr>
          <w:rFonts w:hint="eastAsia" w:ascii="宋体" w:hAnsi="宋体"/>
          <w:sz w:val="24"/>
        </w:rPr>
        <w:t>德安县属北亚热带南缘湿润性季风气候区，总的气候特点是：温暖湿润，光照充足，雨水丰而不调，无霜期较长，春阴夏热，秋旱冬冷，四季分明。全年降雨量平均值为1469.1毫米，最大年降雨量为2110.7毫米，最小年降雨量为865.6毫米。多年平均蒸发量为1585.7毫米。年平均气温16.8℃，极端最低气温-12.9℃，极端最高气温40.4℃。多年平均无霜期为249天，活动积温5176.4℃，多年平均日照时数为1878.5小时，太阳总辐射量为451.7kj/㎝2。多年平均风速为2.77M/s，大风日数为9.5天。据县气象站23年资料统计第一季度（1—3月）各年平均降雨量为252.7毫米，占全年降雨量的19%；第二季度（4—6月）为613.6毫米，占全县降雨量的24%；第四季度（10—12月）为150.1毫米，占全年降雨量的11%。本县雨季开始期多年平均为4月16日，结束期为6月30日，个别年份推迟到7月中旬以后结束，雨季降雨量多年平均为618.6毫米，最多达958毫米（出现在1969年）。由此易出现农作物的干旱现象。德安县多年平均蒸发量为1162.5毫米，连续最大的四个月（6—9月）蒸发量为601毫米，占全年的51.7%，农作物主要生长期（4—6月）蒸发量为892.3毫米，占全年的76.7%。雨蒸差和干旱指数分析：县气象站56—79年的24年资料中，干旱指数大于1的有九年。7、8、9三个月干旱指数大于1的有19年，各年平均干旱指数为1.55，因此这三个月容易出现干旱。</w:t>
      </w:r>
    </w:p>
    <w:p>
      <w:pPr>
        <w:tabs>
          <w:tab w:val="left" w:pos="1200"/>
        </w:tabs>
        <w:ind w:firstLine="480" w:firstLineChars="200"/>
        <w:rPr>
          <w:rFonts w:hint="eastAsia" w:ascii="宋体" w:hAnsi="宋体"/>
          <w:sz w:val="24"/>
        </w:rPr>
      </w:pPr>
      <w:r>
        <w:rPr>
          <w:rFonts w:hint="eastAsia" w:ascii="宋体" w:hAnsi="宋体"/>
          <w:sz w:val="24"/>
          <w:lang w:val="en-US" w:eastAsia="zh-CN"/>
        </w:rPr>
        <w:t>3、</w:t>
      </w:r>
      <w:r>
        <w:rPr>
          <w:rFonts w:hint="eastAsia" w:ascii="宋体" w:hAnsi="宋体"/>
          <w:sz w:val="24"/>
        </w:rPr>
        <w:t>土壤与植被</w:t>
      </w:r>
    </w:p>
    <w:p>
      <w:pPr>
        <w:ind w:firstLine="480" w:firstLineChars="200"/>
        <w:rPr>
          <w:rFonts w:ascii="宋体" w:hAnsi="宋体"/>
          <w:sz w:val="24"/>
        </w:rPr>
      </w:pPr>
      <w:r>
        <w:rPr>
          <w:rFonts w:ascii="宋体" w:hAnsi="宋体"/>
          <w:sz w:val="24"/>
        </w:rPr>
        <w:t>德安县土壤主要由泥质岩类风化物、石灰岩类风化物、石英岩类风化物、第四纪红色粘土、河积物、湖积物、紫色泥质岩风化物等七类成土母质发育而成。根据其成土过程和土壤属性，德安县土壤划分为：水稻土、红壤、潮土、石灰土、红色石灰土、紫色土、草甸土等七个土类，十个亚类，二十九个土属，以红壤和水稻土分布最广。流失区土层薄，肥分含量低。</w:t>
      </w:r>
    </w:p>
    <w:p>
      <w:pPr>
        <w:ind w:firstLine="480" w:firstLineChars="200"/>
        <w:rPr>
          <w:rFonts w:ascii="宋体" w:hAnsi="宋体"/>
          <w:sz w:val="24"/>
        </w:rPr>
      </w:pPr>
      <w:r>
        <w:rPr>
          <w:rFonts w:ascii="宋体" w:hAnsi="宋体"/>
          <w:sz w:val="24"/>
        </w:rPr>
        <w:t>德安县的植被顶极群落为北亚热带常绿阔叶林，但由于长期以来的人为破坏，致使原生植被破坏殆尽，现仅在局部村庄附近山丘残存有次生樟、枫、栎、槠、竹混交的常绿、落叶阔叶林，而大部分山丘岗地已退化为针叶林、针叶疏林或灌木草丛，局部地方甚至沦为裸地。据实地调查，小流域的植被类型有常绿、落叶阔叶混交林、针阔混交林、针叶林、针叶疏林、荒山灌草丛、竹林等，其中以马尾松纯林分布最广。项目区主要乔木树种有：樟、枫香、尖叶栎、苦槠、乌桕、香椿、苦楝、马尾松、湿地松、杉木、柏、黄檀；主要灌木草种有：白栎、继木、山合欢、狗骨柴、黄荆条、金樱子、菝葜、盐肤木、算盘子、乌饭、映山红、胡枝子、芒萁、野古草、扭黄茅、竹类、蕨等；主要经济林果有：板栗、桃、杨梅、柑桔、梨、茶。德安县现有</w:t>
      </w:r>
      <w:r>
        <w:rPr>
          <w:rFonts w:hint="eastAsia" w:ascii="宋体" w:hAnsi="宋体"/>
          <w:sz w:val="24"/>
          <w:lang w:eastAsia="zh-CN"/>
        </w:rPr>
        <w:t>森林覆盖率</w:t>
      </w:r>
      <w:r>
        <w:rPr>
          <w:rFonts w:ascii="宋体" w:hAnsi="宋体"/>
          <w:sz w:val="24"/>
        </w:rPr>
        <w:t>43.9%。</w:t>
      </w:r>
    </w:p>
    <w:p>
      <w:pPr>
        <w:ind w:firstLine="480" w:firstLineChars="200"/>
        <w:rPr>
          <w:rFonts w:hint="eastAsia" w:ascii="宋体" w:hAnsi="宋体"/>
          <w:sz w:val="24"/>
        </w:rPr>
      </w:pPr>
      <w:r>
        <w:rPr>
          <w:rFonts w:hint="eastAsia" w:ascii="宋体" w:hAnsi="宋体"/>
          <w:sz w:val="24"/>
          <w:lang w:val="en-US" w:eastAsia="zh-CN"/>
        </w:rPr>
        <w:t>4、</w:t>
      </w:r>
      <w:r>
        <w:rPr>
          <w:rFonts w:hint="eastAsia" w:ascii="宋体" w:hAnsi="宋体"/>
          <w:sz w:val="24"/>
        </w:rPr>
        <w:t xml:space="preserve"> 环境质量现状</w:t>
      </w:r>
    </w:p>
    <w:p>
      <w:pPr>
        <w:ind w:firstLine="480" w:firstLineChars="200"/>
        <w:rPr>
          <w:rFonts w:hint="eastAsia" w:ascii="宋体" w:hAnsi="宋体"/>
          <w:sz w:val="24"/>
        </w:rPr>
      </w:pPr>
      <w:r>
        <w:rPr>
          <w:rFonts w:hint="eastAsia" w:ascii="宋体" w:hAnsi="宋体"/>
          <w:sz w:val="24"/>
        </w:rPr>
        <w:t>德安县属鄱阳湖水系，区内地下水类型主要有孔隙性潜水及第四系松散堆积体上层滞水，及基岩裂隙水。裂隙水主要赋存于全强风化带，由于裂隙发育，受大气降水和同一含水层中地下水补给，沿裂隙移动，就近向附近冲沟排泄。第四系孔隙水主要赋存于第四系松散堆积层孔隙中，受大气降水补给，顺坡向移动，并于堆积物前缘排泄。地下水位随季节性变化不明显。</w:t>
      </w:r>
    </w:p>
    <w:p>
      <w:pPr>
        <w:ind w:firstLine="480" w:firstLineChars="200"/>
        <w:rPr>
          <w:rFonts w:hint="eastAsia" w:ascii="宋体" w:hAnsi="宋体"/>
          <w:sz w:val="24"/>
        </w:rPr>
      </w:pPr>
      <w:r>
        <w:rPr>
          <w:rFonts w:hint="eastAsia" w:ascii="宋体" w:hAnsi="宋体"/>
          <w:sz w:val="24"/>
          <w:lang w:val="en-US" w:eastAsia="zh-CN"/>
        </w:rPr>
        <w:t>5、</w:t>
      </w:r>
      <w:r>
        <w:rPr>
          <w:rFonts w:hint="eastAsia" w:ascii="宋体" w:hAnsi="宋体"/>
          <w:sz w:val="24"/>
        </w:rPr>
        <w:t>环境敏感区和社会关注区</w:t>
      </w:r>
    </w:p>
    <w:p>
      <w:pPr>
        <w:ind w:firstLine="480" w:firstLineChars="200"/>
        <w:rPr>
          <w:rFonts w:hint="eastAsia" w:ascii="宋体" w:hAnsi="宋体"/>
          <w:sz w:val="24"/>
        </w:rPr>
      </w:pPr>
      <w:r>
        <w:rPr>
          <w:rFonts w:ascii="宋体" w:hAnsi="宋体"/>
          <w:sz w:val="24"/>
        </w:rPr>
        <w:t>德安是一座历史文化悠久的千百年古城，民风淳朴，古迹众多。西河弹腔、傩歌傩舞、龙灯杂耍、采茶戏和民间山歌等民间艺术长盛不衰，许多优秀的民歌、民谣、故事代代相传。德安历史上有著名的“八景”：义峰耸翠、蒲塘落雁、南庄耕叟、金带河流、阳居仙迹、湴塘晓钟、乌石清泉、钓台渔唱，其优美传说已列入九江市非物质文化遗产。近年来，德安加大力度建设新八景，在八景之义峰耸翠的义峰山处依山而建义峰山公园和德安书画院。义峰山公园以现代徽派建筑群为主，极力体现了自然景观与人文景观交相辉映。德安书画院是全省首家有编制、有场所、有经费保障的县级书画院。在八景之蒲塘落雁处建设雁家湖植物园和蒲塘小学。雁家湖植物园以江南传统水乡园林风格为基调，用地135亩，其中湖面占70亩，植有鄱阳湖生态区陆地、水生植物达500多种。历史是一座城市的内涵，城市建设也彰显出一座城市固有的历史底蕴。新建成的隆平大道、东佳大道，正在建设之中的新博物馆、都市田园和再现八景之湴塘晓钟――扩建红庙项目无不洋溢着浓浓的文化气息，展现着千年古城的文化魅力</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本规划中的各自来水工程，水厂、取水设施及加压泵站工程在选址过程中距离与环境敏感区和社会关注区的距离满足相关规范的要求，基本没有负面环境影响。配水管网全部为地下设施，埋深较浅，绝大部分按照现状道路敷设，对上述设施基本没有影响。</w:t>
      </w:r>
    </w:p>
    <w:p>
      <w:pPr>
        <w:pStyle w:val="5"/>
        <w:rPr>
          <w:rFonts w:hint="eastAsia"/>
          <w:bCs/>
          <w:sz w:val="24"/>
          <w:szCs w:val="24"/>
        </w:rPr>
      </w:pPr>
      <w:bookmarkStart w:id="162" w:name="_Toc343699225"/>
      <w:bookmarkStart w:id="163" w:name="_Toc444507534"/>
      <w:bookmarkStart w:id="164" w:name="_Toc28543"/>
      <w:bookmarkStart w:id="165" w:name="_Toc366569889"/>
      <w:r>
        <w:rPr>
          <w:rFonts w:hint="eastAsia"/>
          <w:bCs/>
          <w:sz w:val="24"/>
          <w:szCs w:val="24"/>
        </w:rPr>
        <w:t>环境影响分析</w:t>
      </w:r>
      <w:bookmarkEnd w:id="162"/>
      <w:bookmarkEnd w:id="163"/>
      <w:bookmarkEnd w:id="164"/>
      <w:bookmarkEnd w:id="165"/>
    </w:p>
    <w:p>
      <w:pPr>
        <w:tabs>
          <w:tab w:val="left" w:pos="1200"/>
        </w:tabs>
        <w:ind w:firstLine="480" w:firstLineChars="200"/>
        <w:rPr>
          <w:rFonts w:hint="eastAsia" w:ascii="宋体" w:hAnsi="宋体"/>
          <w:sz w:val="24"/>
        </w:rPr>
      </w:pPr>
      <w:r>
        <w:rPr>
          <w:rFonts w:hint="eastAsia" w:ascii="宋体" w:hAnsi="宋体"/>
          <w:sz w:val="24"/>
        </w:rPr>
        <w:t>自来水工程属于民生工程，基本没有污染物排放，对自然环境影响较小。总体来讲主要环境影响体现在以下几个方面：</w:t>
      </w:r>
    </w:p>
    <w:p>
      <w:pPr>
        <w:tabs>
          <w:tab w:val="left" w:pos="1200"/>
        </w:tabs>
        <w:ind w:firstLine="480" w:firstLineChars="200"/>
        <w:rPr>
          <w:rFonts w:hint="eastAsia" w:ascii="宋体" w:hAnsi="宋体"/>
          <w:sz w:val="24"/>
        </w:rPr>
      </w:pPr>
      <w:r>
        <w:rPr>
          <w:rFonts w:hint="eastAsia" w:ascii="宋体" w:hAnsi="宋体"/>
          <w:sz w:val="24"/>
        </w:rPr>
        <w:t>（1）生态影响</w:t>
      </w:r>
    </w:p>
    <w:p>
      <w:pPr>
        <w:tabs>
          <w:tab w:val="left" w:pos="1200"/>
        </w:tabs>
        <w:ind w:firstLine="480" w:firstLineChars="200"/>
        <w:rPr>
          <w:rFonts w:hint="eastAsia" w:ascii="宋体" w:hAnsi="宋体"/>
          <w:sz w:val="24"/>
        </w:rPr>
      </w:pPr>
      <w:r>
        <w:rPr>
          <w:rFonts w:hint="eastAsia" w:ascii="宋体" w:hAnsi="宋体"/>
          <w:sz w:val="24"/>
        </w:rPr>
        <w:t>德安县自来水工程需水总量</w:t>
      </w:r>
      <w:r>
        <w:rPr>
          <w:rFonts w:hint="eastAsia" w:ascii="宋体" w:hAnsi="宋体"/>
          <w:sz w:val="24"/>
          <w:lang w:val="en-US" w:eastAsia="zh-CN"/>
        </w:rPr>
        <w:t>3718.49</w:t>
      </w:r>
      <w:r>
        <w:rPr>
          <w:rFonts w:hint="eastAsia" w:ascii="宋体" w:hAnsi="宋体"/>
          <w:sz w:val="24"/>
        </w:rPr>
        <w:t>万立方米/年；德安县可开发水资源总量为4.276亿M，其中地表水3.792亿M，地下水0.484亿M。全县可供水量，地表水为1.06亿M，地下水0.02亿M，其中用于灌溉可供水量，地表水为0.88亿M，地下水为0.002亿M。蓄、引、提工程齐全，建有中型水库2座，小(一)型水库6座、小(二)型水库69座，塘坝1913座，总有效库容为9840万m3。所有水源可供水资源总量为9823.88万立方米/年，自来水工程需水量占水资源总量仅为10％。对区域水资源影响较小。不会对当地的水文、水质、生物结构造成太大影响。另外，本工程的建设，会取代大量分散取水工程，可有效避免分散取水对局部小环境的影响。</w:t>
      </w:r>
    </w:p>
    <w:p>
      <w:pPr>
        <w:tabs>
          <w:tab w:val="left" w:pos="1200"/>
        </w:tabs>
        <w:ind w:firstLine="480" w:firstLineChars="200"/>
        <w:rPr>
          <w:rFonts w:hint="eastAsia" w:ascii="宋体" w:hAnsi="宋体"/>
          <w:sz w:val="24"/>
        </w:rPr>
      </w:pPr>
      <w:r>
        <w:rPr>
          <w:rFonts w:hint="eastAsia" w:ascii="宋体" w:hAnsi="宋体"/>
          <w:sz w:val="24"/>
        </w:rPr>
        <w:t>（2）社会环境影响</w:t>
      </w:r>
    </w:p>
    <w:p>
      <w:pPr>
        <w:tabs>
          <w:tab w:val="left" w:pos="1200"/>
        </w:tabs>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GB3</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①</w:t>
      </w:r>
      <w:r>
        <w:rPr>
          <w:rFonts w:ascii="宋体" w:hAnsi="宋体"/>
          <w:sz w:val="24"/>
        </w:rPr>
        <w:fldChar w:fldCharType="end"/>
      </w:r>
      <w:r>
        <w:rPr>
          <w:rFonts w:hint="eastAsia" w:ascii="宋体" w:hAnsi="宋体"/>
          <w:sz w:val="24"/>
        </w:rPr>
        <w:t>施工期环境影响</w:t>
      </w:r>
    </w:p>
    <w:p>
      <w:pPr>
        <w:tabs>
          <w:tab w:val="left" w:pos="1200"/>
        </w:tabs>
        <w:ind w:firstLine="480" w:firstLineChars="200"/>
        <w:rPr>
          <w:rFonts w:ascii="宋体" w:hAnsi="宋体"/>
          <w:sz w:val="24"/>
        </w:rPr>
      </w:pPr>
      <w:r>
        <w:rPr>
          <w:rFonts w:ascii="宋体" w:hAnsi="宋体"/>
          <w:sz w:val="24"/>
        </w:rPr>
        <w:t>在施工期间对环境的影响有以下几方面。</w:t>
      </w:r>
    </w:p>
    <w:p>
      <w:pPr>
        <w:tabs>
          <w:tab w:val="left" w:pos="1200"/>
        </w:tabs>
        <w:ind w:firstLine="480" w:firstLineChars="200"/>
        <w:rPr>
          <w:rFonts w:ascii="宋体" w:hAnsi="宋体"/>
          <w:sz w:val="24"/>
        </w:rPr>
      </w:pPr>
      <w:r>
        <w:rPr>
          <w:rFonts w:ascii="宋体" w:hAnsi="宋体"/>
          <w:sz w:val="24"/>
        </w:rPr>
        <w:t>扬尘的影响：工程施工期间，挖掘的泥土通常堆放在施工现场，短则几个星期，长则数月，在干旱大风时节，车辆过往致使飞土尘扬，使大气中悬浮物颗粒含量剧增严重影响周围环境。再加上由于雨水的冲刷以及车辆的碾压，使施工现场变的泥泞不堪，行人步履艰难。</w:t>
      </w:r>
    </w:p>
    <w:p>
      <w:pPr>
        <w:tabs>
          <w:tab w:val="left" w:pos="1200"/>
        </w:tabs>
        <w:ind w:firstLine="480" w:firstLineChars="200"/>
        <w:rPr>
          <w:rFonts w:ascii="宋体" w:hAnsi="宋体"/>
          <w:sz w:val="24"/>
        </w:rPr>
      </w:pPr>
      <w:r>
        <w:rPr>
          <w:rFonts w:ascii="宋体" w:hAnsi="宋体"/>
          <w:sz w:val="24"/>
        </w:rPr>
        <w:t>噪声的影响：施工噪声主要来自</w:t>
      </w:r>
      <w:r>
        <w:rPr>
          <w:rFonts w:hint="eastAsia" w:ascii="宋体" w:hAnsi="宋体"/>
          <w:sz w:val="24"/>
        </w:rPr>
        <w:t>净水</w:t>
      </w:r>
      <w:r>
        <w:rPr>
          <w:rFonts w:ascii="宋体" w:hAnsi="宋体"/>
          <w:sz w:val="24"/>
        </w:rPr>
        <w:t>厂建设时施工机械和建筑材料运输、车辆马达的轰鸣及喇叭的喧闹声。特别是在夜间，施工噪声将严重影响邻近居民的工作和休息。根据《建筑施工场界噪声限值》（GB12523-93）不同施工阶段作业噪声限值见</w:t>
      </w:r>
      <w:r>
        <w:rPr>
          <w:rFonts w:hint="eastAsia" w:ascii="宋体" w:hAnsi="宋体"/>
          <w:sz w:val="24"/>
        </w:rPr>
        <w:t>下表</w:t>
      </w:r>
      <w:r>
        <w:rPr>
          <w:rFonts w:ascii="宋体" w:hAnsi="宋体"/>
          <w:sz w:val="24"/>
        </w:rPr>
        <w:t>。</w:t>
      </w:r>
    </w:p>
    <w:p>
      <w:pPr>
        <w:tabs>
          <w:tab w:val="left" w:pos="1200"/>
        </w:tabs>
        <w:ind w:firstLine="480" w:firstLineChars="200"/>
        <w:jc w:val="center"/>
        <w:rPr>
          <w:rFonts w:ascii="宋体" w:hAnsi="宋体"/>
          <w:sz w:val="24"/>
        </w:rPr>
      </w:pPr>
      <w:r>
        <w:rPr>
          <w:rFonts w:ascii="宋体" w:hAnsi="宋体"/>
          <w:sz w:val="24"/>
        </w:rPr>
        <w:t>建筑施工场界噪声限值等效声级</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829"/>
        <w:gridCol w:w="1554"/>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1585" w:type="dxa"/>
            <w:vMerge w:val="restart"/>
            <w:shd w:val="clear" w:color="auto" w:fill="CCFFFF"/>
            <w:noWrap w:val="0"/>
            <w:vAlign w:val="center"/>
          </w:tcPr>
          <w:p>
            <w:pPr>
              <w:rPr>
                <w:sz w:val="24"/>
              </w:rPr>
            </w:pPr>
            <w:r>
              <w:rPr>
                <w:sz w:val="24"/>
              </w:rPr>
              <w:t>施工阶段</w:t>
            </w:r>
          </w:p>
        </w:tc>
        <w:tc>
          <w:tcPr>
            <w:tcW w:w="3829" w:type="dxa"/>
            <w:vMerge w:val="restart"/>
            <w:shd w:val="clear" w:color="auto" w:fill="CCFFFF"/>
            <w:noWrap w:val="0"/>
            <w:vAlign w:val="center"/>
          </w:tcPr>
          <w:p>
            <w:pPr>
              <w:rPr>
                <w:sz w:val="24"/>
              </w:rPr>
            </w:pPr>
            <w:r>
              <w:rPr>
                <w:sz w:val="24"/>
              </w:rPr>
              <w:t>主要噪声源</w:t>
            </w:r>
          </w:p>
        </w:tc>
        <w:tc>
          <w:tcPr>
            <w:tcW w:w="3109" w:type="dxa"/>
            <w:gridSpan w:val="2"/>
            <w:shd w:val="clear" w:color="auto" w:fill="CCFFFF"/>
            <w:noWrap w:val="0"/>
            <w:vAlign w:val="center"/>
          </w:tcPr>
          <w:p>
            <w:pPr>
              <w:rPr>
                <w:sz w:val="24"/>
              </w:rPr>
            </w:pPr>
            <w:r>
              <w:rPr>
                <w:sz w:val="24"/>
              </w:rPr>
              <w:t>噪声限值dB(A)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585" w:type="dxa"/>
            <w:vMerge w:val="continue"/>
            <w:shd w:val="clear" w:color="auto" w:fill="CCFFFF"/>
            <w:noWrap w:val="0"/>
            <w:vAlign w:val="center"/>
          </w:tcPr>
          <w:p>
            <w:pPr>
              <w:rPr>
                <w:sz w:val="24"/>
              </w:rPr>
            </w:pPr>
          </w:p>
        </w:tc>
        <w:tc>
          <w:tcPr>
            <w:tcW w:w="3829" w:type="dxa"/>
            <w:vMerge w:val="continue"/>
            <w:shd w:val="clear" w:color="auto" w:fill="CCFFFF"/>
            <w:noWrap w:val="0"/>
            <w:vAlign w:val="center"/>
          </w:tcPr>
          <w:p>
            <w:pPr>
              <w:rPr>
                <w:sz w:val="24"/>
              </w:rPr>
            </w:pPr>
          </w:p>
        </w:tc>
        <w:tc>
          <w:tcPr>
            <w:tcW w:w="1554" w:type="dxa"/>
            <w:shd w:val="clear" w:color="auto" w:fill="CCFFFF"/>
            <w:noWrap w:val="0"/>
            <w:vAlign w:val="center"/>
          </w:tcPr>
          <w:p>
            <w:pPr>
              <w:rPr>
                <w:sz w:val="24"/>
              </w:rPr>
            </w:pPr>
            <w:r>
              <w:rPr>
                <w:sz w:val="24"/>
              </w:rPr>
              <w:t>昼间</w:t>
            </w:r>
          </w:p>
        </w:tc>
        <w:tc>
          <w:tcPr>
            <w:tcW w:w="1555" w:type="dxa"/>
            <w:shd w:val="clear" w:color="auto" w:fill="CCFFFF"/>
            <w:noWrap w:val="0"/>
            <w:vAlign w:val="center"/>
          </w:tcPr>
          <w:p>
            <w:pPr>
              <w:rPr>
                <w:sz w:val="24"/>
              </w:rPr>
            </w:pPr>
            <w:r>
              <w:rPr>
                <w:sz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rPr>
                <w:sz w:val="24"/>
              </w:rPr>
            </w:pPr>
            <w:r>
              <w:rPr>
                <w:sz w:val="24"/>
              </w:rPr>
              <w:t>土石方</w:t>
            </w:r>
          </w:p>
        </w:tc>
        <w:tc>
          <w:tcPr>
            <w:tcW w:w="3829" w:type="dxa"/>
            <w:noWrap w:val="0"/>
            <w:vAlign w:val="center"/>
          </w:tcPr>
          <w:p>
            <w:pPr>
              <w:rPr>
                <w:sz w:val="24"/>
              </w:rPr>
            </w:pPr>
            <w:r>
              <w:rPr>
                <w:sz w:val="24"/>
              </w:rPr>
              <w:t>推土机、挖掘机、装载机等</w:t>
            </w:r>
          </w:p>
        </w:tc>
        <w:tc>
          <w:tcPr>
            <w:tcW w:w="1554" w:type="dxa"/>
            <w:noWrap w:val="0"/>
            <w:vAlign w:val="center"/>
          </w:tcPr>
          <w:p>
            <w:pPr>
              <w:rPr>
                <w:sz w:val="24"/>
              </w:rPr>
            </w:pPr>
            <w:r>
              <w:rPr>
                <w:sz w:val="24"/>
              </w:rPr>
              <w:t>75</w:t>
            </w:r>
          </w:p>
        </w:tc>
        <w:tc>
          <w:tcPr>
            <w:tcW w:w="1555" w:type="dxa"/>
            <w:noWrap w:val="0"/>
            <w:vAlign w:val="center"/>
          </w:tcPr>
          <w:p>
            <w:pPr>
              <w:rPr>
                <w:sz w:val="24"/>
              </w:rPr>
            </w:pPr>
            <w:r>
              <w:rPr>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rPr>
                <w:sz w:val="24"/>
              </w:rPr>
            </w:pPr>
            <w:r>
              <w:rPr>
                <w:sz w:val="24"/>
              </w:rPr>
              <w:t>打  桩</w:t>
            </w:r>
          </w:p>
        </w:tc>
        <w:tc>
          <w:tcPr>
            <w:tcW w:w="3829" w:type="dxa"/>
            <w:noWrap w:val="0"/>
            <w:vAlign w:val="center"/>
          </w:tcPr>
          <w:p>
            <w:pPr>
              <w:rPr>
                <w:sz w:val="24"/>
              </w:rPr>
            </w:pPr>
            <w:r>
              <w:rPr>
                <w:sz w:val="24"/>
              </w:rPr>
              <w:t>各种打桩机等</w:t>
            </w:r>
          </w:p>
        </w:tc>
        <w:tc>
          <w:tcPr>
            <w:tcW w:w="1554" w:type="dxa"/>
            <w:noWrap w:val="0"/>
            <w:vAlign w:val="center"/>
          </w:tcPr>
          <w:p>
            <w:pPr>
              <w:rPr>
                <w:sz w:val="24"/>
              </w:rPr>
            </w:pPr>
            <w:r>
              <w:rPr>
                <w:sz w:val="24"/>
              </w:rPr>
              <w:t>85</w:t>
            </w:r>
          </w:p>
        </w:tc>
        <w:tc>
          <w:tcPr>
            <w:tcW w:w="1555" w:type="dxa"/>
            <w:noWrap w:val="0"/>
            <w:vAlign w:val="center"/>
          </w:tcPr>
          <w:p>
            <w:pPr>
              <w:rPr>
                <w:sz w:val="24"/>
              </w:rPr>
            </w:pPr>
            <w:r>
              <w:rPr>
                <w:sz w:val="24"/>
              </w:rPr>
              <w:t>禁止施工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rPr>
                <w:sz w:val="24"/>
              </w:rPr>
            </w:pPr>
            <w:r>
              <w:rPr>
                <w:sz w:val="24"/>
              </w:rPr>
              <w:t>结  构</w:t>
            </w:r>
          </w:p>
        </w:tc>
        <w:tc>
          <w:tcPr>
            <w:tcW w:w="3829" w:type="dxa"/>
            <w:noWrap w:val="0"/>
            <w:vAlign w:val="center"/>
          </w:tcPr>
          <w:p>
            <w:pPr>
              <w:rPr>
                <w:sz w:val="24"/>
              </w:rPr>
            </w:pPr>
            <w:r>
              <w:rPr>
                <w:sz w:val="24"/>
              </w:rPr>
              <w:t>混凝土搅拌机、振捣棒、电锯等</w:t>
            </w:r>
          </w:p>
        </w:tc>
        <w:tc>
          <w:tcPr>
            <w:tcW w:w="1554" w:type="dxa"/>
            <w:noWrap w:val="0"/>
            <w:vAlign w:val="center"/>
          </w:tcPr>
          <w:p>
            <w:pPr>
              <w:rPr>
                <w:sz w:val="24"/>
              </w:rPr>
            </w:pPr>
            <w:r>
              <w:rPr>
                <w:sz w:val="24"/>
              </w:rPr>
              <w:t>70</w:t>
            </w:r>
          </w:p>
        </w:tc>
        <w:tc>
          <w:tcPr>
            <w:tcW w:w="1555" w:type="dxa"/>
            <w:noWrap w:val="0"/>
            <w:vAlign w:val="center"/>
          </w:tcPr>
          <w:p>
            <w:pPr>
              <w:rPr>
                <w:sz w:val="24"/>
              </w:rPr>
            </w:pPr>
            <w:r>
              <w:rPr>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rPr>
                <w:sz w:val="24"/>
              </w:rPr>
            </w:pPr>
            <w:r>
              <w:rPr>
                <w:sz w:val="24"/>
              </w:rPr>
              <w:t>装  修</w:t>
            </w:r>
          </w:p>
        </w:tc>
        <w:tc>
          <w:tcPr>
            <w:tcW w:w="3829" w:type="dxa"/>
            <w:noWrap w:val="0"/>
            <w:vAlign w:val="center"/>
          </w:tcPr>
          <w:p>
            <w:pPr>
              <w:rPr>
                <w:sz w:val="24"/>
              </w:rPr>
            </w:pPr>
            <w:r>
              <w:rPr>
                <w:sz w:val="24"/>
              </w:rPr>
              <w:t>吊车、升降机等</w:t>
            </w:r>
          </w:p>
        </w:tc>
        <w:tc>
          <w:tcPr>
            <w:tcW w:w="1554" w:type="dxa"/>
            <w:noWrap w:val="0"/>
            <w:vAlign w:val="center"/>
          </w:tcPr>
          <w:p>
            <w:pPr>
              <w:rPr>
                <w:sz w:val="24"/>
              </w:rPr>
            </w:pPr>
            <w:r>
              <w:rPr>
                <w:sz w:val="24"/>
              </w:rPr>
              <w:t>65</w:t>
            </w:r>
          </w:p>
        </w:tc>
        <w:tc>
          <w:tcPr>
            <w:tcW w:w="1555" w:type="dxa"/>
            <w:noWrap w:val="0"/>
            <w:vAlign w:val="center"/>
          </w:tcPr>
          <w:p>
            <w:pPr>
              <w:rPr>
                <w:sz w:val="24"/>
              </w:rPr>
            </w:pPr>
            <w:r>
              <w:rPr>
                <w:sz w:val="24"/>
              </w:rPr>
              <w:t>55</w:t>
            </w:r>
          </w:p>
        </w:tc>
      </w:tr>
    </w:tbl>
    <w:p>
      <w:pPr>
        <w:tabs>
          <w:tab w:val="left" w:pos="1200"/>
        </w:tabs>
        <w:ind w:firstLine="480" w:firstLineChars="200"/>
        <w:rPr>
          <w:rFonts w:ascii="宋体" w:hAnsi="宋体"/>
          <w:sz w:val="24"/>
        </w:rPr>
      </w:pPr>
      <w:r>
        <w:rPr>
          <w:rFonts w:ascii="宋体" w:hAnsi="宋体"/>
          <w:sz w:val="24"/>
        </w:rPr>
        <w:t>采用点声源衰减公式对主要施工设备的噪声影响进行了预测计算，其结果列于表</w:t>
      </w:r>
      <w:r>
        <w:rPr>
          <w:rFonts w:hint="eastAsia" w:ascii="宋体" w:hAnsi="宋体"/>
          <w:sz w:val="24"/>
        </w:rPr>
        <w:t>10</w:t>
      </w:r>
      <w:r>
        <w:rPr>
          <w:rFonts w:ascii="宋体" w:hAnsi="宋体"/>
          <w:sz w:val="24"/>
        </w:rPr>
        <w:t>-2中。</w:t>
      </w:r>
    </w:p>
    <w:p>
      <w:pPr>
        <w:tabs>
          <w:tab w:val="left" w:pos="1200"/>
        </w:tabs>
        <w:ind w:firstLine="480" w:firstLineChars="200"/>
        <w:jc w:val="center"/>
        <w:rPr>
          <w:rFonts w:ascii="宋体" w:hAnsi="宋体"/>
          <w:sz w:val="24"/>
        </w:rPr>
      </w:pPr>
      <w:r>
        <w:rPr>
          <w:rFonts w:ascii="宋体" w:hAnsi="宋体"/>
          <w:sz w:val="24"/>
        </w:rPr>
        <w:t>预测距声源不同距离处的噪声值表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5"/>
        <w:gridCol w:w="1111"/>
        <w:gridCol w:w="604"/>
        <w:gridCol w:w="706"/>
        <w:gridCol w:w="676"/>
        <w:gridCol w:w="676"/>
        <w:gridCol w:w="676"/>
        <w:gridCol w:w="676"/>
        <w:gridCol w:w="676"/>
        <w:gridCol w:w="750"/>
        <w:gridCol w:w="750"/>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535" w:type="dxa"/>
            <w:vMerge w:val="restart"/>
            <w:shd w:val="clear" w:color="auto" w:fill="CCFFFF"/>
            <w:noWrap w:val="0"/>
            <w:tcMar>
              <w:left w:w="57" w:type="dxa"/>
              <w:right w:w="57" w:type="dxa"/>
            </w:tcMar>
            <w:vAlign w:val="center"/>
          </w:tcPr>
          <w:p>
            <w:pPr>
              <w:rPr>
                <w:sz w:val="24"/>
              </w:rPr>
            </w:pPr>
            <w:r>
              <w:rPr>
                <w:sz w:val="24"/>
              </w:rPr>
              <w:t>序号</w:t>
            </w:r>
          </w:p>
        </w:tc>
        <w:tc>
          <w:tcPr>
            <w:tcW w:w="1111" w:type="dxa"/>
            <w:vMerge w:val="restart"/>
            <w:shd w:val="clear" w:color="auto" w:fill="CCFFFF"/>
            <w:noWrap w:val="0"/>
            <w:tcMar>
              <w:left w:w="57" w:type="dxa"/>
              <w:right w:w="57" w:type="dxa"/>
            </w:tcMar>
            <w:vAlign w:val="center"/>
          </w:tcPr>
          <w:p>
            <w:pPr>
              <w:rPr>
                <w:sz w:val="24"/>
              </w:rPr>
            </w:pPr>
            <w:r>
              <w:rPr>
                <w:sz w:val="24"/>
              </w:rPr>
              <w:t>设备</w:t>
            </w:r>
          </w:p>
          <w:p>
            <w:pPr>
              <w:rPr>
                <w:sz w:val="24"/>
              </w:rPr>
            </w:pPr>
            <w:r>
              <w:rPr>
                <w:sz w:val="24"/>
              </w:rPr>
              <w:t>名称</w:t>
            </w:r>
          </w:p>
        </w:tc>
        <w:tc>
          <w:tcPr>
            <w:tcW w:w="604" w:type="dxa"/>
            <w:vMerge w:val="restart"/>
            <w:shd w:val="clear" w:color="auto" w:fill="CCFFFF"/>
            <w:noWrap w:val="0"/>
            <w:tcMar>
              <w:left w:w="57" w:type="dxa"/>
              <w:right w:w="57" w:type="dxa"/>
            </w:tcMar>
            <w:vAlign w:val="center"/>
          </w:tcPr>
          <w:p>
            <w:pPr>
              <w:rPr>
                <w:sz w:val="24"/>
              </w:rPr>
            </w:pPr>
            <w:r>
              <w:rPr>
                <w:sz w:val="24"/>
              </w:rPr>
              <w:t>声功率级</w:t>
            </w:r>
          </w:p>
        </w:tc>
        <w:tc>
          <w:tcPr>
            <w:tcW w:w="6350" w:type="dxa"/>
            <w:gridSpan w:val="9"/>
            <w:shd w:val="clear" w:color="auto" w:fill="CCFFFF"/>
            <w:noWrap w:val="0"/>
            <w:tcMar>
              <w:left w:w="57" w:type="dxa"/>
              <w:right w:w="57" w:type="dxa"/>
            </w:tcMar>
            <w:vAlign w:val="center"/>
          </w:tcPr>
          <w:p>
            <w:pPr>
              <w:rPr>
                <w:sz w:val="24"/>
              </w:rPr>
            </w:pPr>
            <w:r>
              <w:rPr>
                <w:sz w:val="24"/>
              </w:rPr>
              <w:t>不同距离处的噪声值dB(A)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96" w:hRule="atLeast"/>
          <w:tblHeader/>
          <w:jc w:val="center"/>
        </w:trPr>
        <w:tc>
          <w:tcPr>
            <w:tcW w:w="535" w:type="dxa"/>
            <w:vMerge w:val="continue"/>
            <w:shd w:val="clear" w:color="auto" w:fill="CCFFFF"/>
            <w:noWrap w:val="0"/>
            <w:tcMar>
              <w:left w:w="57" w:type="dxa"/>
              <w:right w:w="57" w:type="dxa"/>
            </w:tcMar>
            <w:vAlign w:val="center"/>
          </w:tcPr>
          <w:p>
            <w:pPr>
              <w:rPr>
                <w:sz w:val="24"/>
              </w:rPr>
            </w:pPr>
          </w:p>
        </w:tc>
        <w:tc>
          <w:tcPr>
            <w:tcW w:w="1111" w:type="dxa"/>
            <w:vMerge w:val="continue"/>
            <w:shd w:val="clear" w:color="auto" w:fill="CCFFFF"/>
            <w:noWrap w:val="0"/>
            <w:tcMar>
              <w:left w:w="57" w:type="dxa"/>
              <w:right w:w="57" w:type="dxa"/>
            </w:tcMar>
            <w:vAlign w:val="center"/>
          </w:tcPr>
          <w:p>
            <w:pPr>
              <w:rPr>
                <w:sz w:val="24"/>
              </w:rPr>
            </w:pPr>
          </w:p>
        </w:tc>
        <w:tc>
          <w:tcPr>
            <w:tcW w:w="604" w:type="dxa"/>
            <w:vMerge w:val="continue"/>
            <w:shd w:val="clear" w:color="auto" w:fill="CCFFFF"/>
            <w:noWrap w:val="0"/>
            <w:tcMar>
              <w:left w:w="57" w:type="dxa"/>
              <w:right w:w="57" w:type="dxa"/>
            </w:tcMar>
            <w:vAlign w:val="center"/>
          </w:tcPr>
          <w:p>
            <w:pPr>
              <w:rPr>
                <w:sz w:val="24"/>
              </w:rPr>
            </w:pPr>
          </w:p>
        </w:tc>
        <w:tc>
          <w:tcPr>
            <w:tcW w:w="706" w:type="dxa"/>
            <w:shd w:val="clear" w:color="auto" w:fill="CCFFFF"/>
            <w:noWrap w:val="0"/>
            <w:tcMar>
              <w:left w:w="57" w:type="dxa"/>
              <w:right w:w="57" w:type="dxa"/>
            </w:tcMar>
            <w:vAlign w:val="center"/>
          </w:tcPr>
          <w:p>
            <w:pPr>
              <w:rPr>
                <w:sz w:val="24"/>
              </w:rPr>
            </w:pPr>
            <w:r>
              <w:rPr>
                <w:sz w:val="24"/>
              </w:rPr>
              <w:t>5m</w:t>
            </w:r>
          </w:p>
        </w:tc>
        <w:tc>
          <w:tcPr>
            <w:tcW w:w="676" w:type="dxa"/>
            <w:shd w:val="clear" w:color="auto" w:fill="CCFFFF"/>
            <w:noWrap w:val="0"/>
            <w:tcMar>
              <w:left w:w="57" w:type="dxa"/>
              <w:right w:w="57" w:type="dxa"/>
            </w:tcMar>
            <w:vAlign w:val="center"/>
          </w:tcPr>
          <w:p>
            <w:pPr>
              <w:rPr>
                <w:sz w:val="24"/>
              </w:rPr>
            </w:pPr>
            <w:r>
              <w:rPr>
                <w:sz w:val="24"/>
              </w:rPr>
              <w:t>10m</w:t>
            </w:r>
          </w:p>
        </w:tc>
        <w:tc>
          <w:tcPr>
            <w:tcW w:w="676" w:type="dxa"/>
            <w:shd w:val="clear" w:color="auto" w:fill="CCFFFF"/>
            <w:noWrap w:val="0"/>
            <w:tcMar>
              <w:left w:w="57" w:type="dxa"/>
              <w:right w:w="57" w:type="dxa"/>
            </w:tcMar>
            <w:vAlign w:val="center"/>
          </w:tcPr>
          <w:p>
            <w:pPr>
              <w:rPr>
                <w:sz w:val="24"/>
              </w:rPr>
            </w:pPr>
            <w:r>
              <w:rPr>
                <w:sz w:val="24"/>
              </w:rPr>
              <w:t>20m</w:t>
            </w:r>
          </w:p>
        </w:tc>
        <w:tc>
          <w:tcPr>
            <w:tcW w:w="676" w:type="dxa"/>
            <w:shd w:val="clear" w:color="auto" w:fill="CCFFFF"/>
            <w:noWrap w:val="0"/>
            <w:tcMar>
              <w:left w:w="57" w:type="dxa"/>
              <w:right w:w="57" w:type="dxa"/>
            </w:tcMar>
            <w:vAlign w:val="center"/>
          </w:tcPr>
          <w:p>
            <w:pPr>
              <w:rPr>
                <w:sz w:val="24"/>
              </w:rPr>
            </w:pPr>
            <w:r>
              <w:rPr>
                <w:sz w:val="24"/>
              </w:rPr>
              <w:t>40m</w:t>
            </w:r>
          </w:p>
        </w:tc>
        <w:tc>
          <w:tcPr>
            <w:tcW w:w="676" w:type="dxa"/>
            <w:shd w:val="clear" w:color="auto" w:fill="CCFFFF"/>
            <w:noWrap w:val="0"/>
            <w:tcMar>
              <w:left w:w="57" w:type="dxa"/>
              <w:right w:w="57" w:type="dxa"/>
            </w:tcMar>
            <w:vAlign w:val="center"/>
          </w:tcPr>
          <w:p>
            <w:pPr>
              <w:rPr>
                <w:sz w:val="24"/>
              </w:rPr>
            </w:pPr>
            <w:r>
              <w:rPr>
                <w:sz w:val="24"/>
              </w:rPr>
              <w:t>60m</w:t>
            </w:r>
          </w:p>
        </w:tc>
        <w:tc>
          <w:tcPr>
            <w:tcW w:w="676" w:type="dxa"/>
            <w:shd w:val="clear" w:color="auto" w:fill="CCFFFF"/>
            <w:noWrap w:val="0"/>
            <w:tcMar>
              <w:left w:w="57" w:type="dxa"/>
              <w:right w:w="57" w:type="dxa"/>
            </w:tcMar>
            <w:vAlign w:val="center"/>
          </w:tcPr>
          <w:p>
            <w:pPr>
              <w:rPr>
                <w:sz w:val="24"/>
              </w:rPr>
            </w:pPr>
            <w:r>
              <w:rPr>
                <w:sz w:val="24"/>
              </w:rPr>
              <w:t>80m</w:t>
            </w:r>
          </w:p>
        </w:tc>
        <w:tc>
          <w:tcPr>
            <w:tcW w:w="750" w:type="dxa"/>
            <w:shd w:val="clear" w:color="auto" w:fill="CCFFFF"/>
            <w:noWrap w:val="0"/>
            <w:tcMar>
              <w:left w:w="57" w:type="dxa"/>
              <w:right w:w="57" w:type="dxa"/>
            </w:tcMar>
            <w:vAlign w:val="center"/>
          </w:tcPr>
          <w:p>
            <w:pPr>
              <w:rPr>
                <w:sz w:val="24"/>
              </w:rPr>
            </w:pPr>
            <w:r>
              <w:rPr>
                <w:sz w:val="24"/>
              </w:rPr>
              <w:t>100m</w:t>
            </w:r>
          </w:p>
        </w:tc>
        <w:tc>
          <w:tcPr>
            <w:tcW w:w="750" w:type="dxa"/>
            <w:shd w:val="clear" w:color="auto" w:fill="CCFFFF"/>
            <w:noWrap w:val="0"/>
            <w:tcMar>
              <w:left w:w="57" w:type="dxa"/>
              <w:right w:w="57" w:type="dxa"/>
            </w:tcMar>
            <w:vAlign w:val="center"/>
          </w:tcPr>
          <w:p>
            <w:pPr>
              <w:rPr>
                <w:sz w:val="24"/>
              </w:rPr>
            </w:pPr>
            <w:r>
              <w:rPr>
                <w:sz w:val="24"/>
              </w:rPr>
              <w:t>150m</w:t>
            </w:r>
          </w:p>
        </w:tc>
        <w:tc>
          <w:tcPr>
            <w:tcW w:w="764" w:type="dxa"/>
            <w:shd w:val="clear" w:color="auto" w:fill="CCFFFF"/>
            <w:noWrap w:val="0"/>
            <w:tcMar>
              <w:left w:w="57" w:type="dxa"/>
              <w:right w:w="57" w:type="dxa"/>
            </w:tcMar>
            <w:vAlign w:val="center"/>
          </w:tcPr>
          <w:p>
            <w:pPr>
              <w:rPr>
                <w:sz w:val="24"/>
              </w:rPr>
            </w:pPr>
            <w:r>
              <w:rPr>
                <w:sz w:val="24"/>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1</w:t>
            </w:r>
          </w:p>
        </w:tc>
        <w:tc>
          <w:tcPr>
            <w:tcW w:w="1111" w:type="dxa"/>
            <w:noWrap w:val="0"/>
            <w:tcMar>
              <w:left w:w="57" w:type="dxa"/>
              <w:right w:w="57" w:type="dxa"/>
            </w:tcMar>
            <w:vAlign w:val="center"/>
          </w:tcPr>
          <w:p>
            <w:pPr>
              <w:rPr>
                <w:sz w:val="24"/>
              </w:rPr>
            </w:pPr>
            <w:r>
              <w:rPr>
                <w:sz w:val="24"/>
              </w:rPr>
              <w:t>翻斗车</w:t>
            </w:r>
          </w:p>
        </w:tc>
        <w:tc>
          <w:tcPr>
            <w:tcW w:w="604" w:type="dxa"/>
            <w:noWrap w:val="0"/>
            <w:tcMar>
              <w:left w:w="57" w:type="dxa"/>
              <w:right w:w="57" w:type="dxa"/>
            </w:tcMar>
            <w:vAlign w:val="center"/>
          </w:tcPr>
          <w:p>
            <w:pPr>
              <w:rPr>
                <w:sz w:val="24"/>
              </w:rPr>
            </w:pPr>
            <w:r>
              <w:rPr>
                <w:sz w:val="24"/>
              </w:rPr>
              <w:t>106</w:t>
            </w:r>
          </w:p>
        </w:tc>
        <w:tc>
          <w:tcPr>
            <w:tcW w:w="706" w:type="dxa"/>
            <w:noWrap w:val="0"/>
            <w:tcMar>
              <w:left w:w="57" w:type="dxa"/>
              <w:right w:w="57" w:type="dxa"/>
            </w:tcMar>
            <w:vAlign w:val="center"/>
          </w:tcPr>
          <w:p>
            <w:pPr>
              <w:rPr>
                <w:sz w:val="24"/>
              </w:rPr>
            </w:pPr>
            <w:r>
              <w:rPr>
                <w:sz w:val="24"/>
              </w:rPr>
              <w:t>84</w:t>
            </w:r>
          </w:p>
        </w:tc>
        <w:tc>
          <w:tcPr>
            <w:tcW w:w="676" w:type="dxa"/>
            <w:noWrap w:val="0"/>
            <w:tcMar>
              <w:left w:w="57" w:type="dxa"/>
              <w:right w:w="57" w:type="dxa"/>
            </w:tcMar>
            <w:vAlign w:val="center"/>
          </w:tcPr>
          <w:p>
            <w:pPr>
              <w:rPr>
                <w:sz w:val="24"/>
              </w:rPr>
            </w:pPr>
            <w:r>
              <w:rPr>
                <w:sz w:val="24"/>
              </w:rPr>
              <w:t>78</w:t>
            </w:r>
          </w:p>
        </w:tc>
        <w:tc>
          <w:tcPr>
            <w:tcW w:w="676" w:type="dxa"/>
            <w:noWrap w:val="0"/>
            <w:tcMar>
              <w:left w:w="57" w:type="dxa"/>
              <w:right w:w="57" w:type="dxa"/>
            </w:tcMar>
            <w:vAlign w:val="center"/>
          </w:tcPr>
          <w:p>
            <w:pPr>
              <w:rPr>
                <w:sz w:val="24"/>
              </w:rPr>
            </w:pPr>
            <w:r>
              <w:rPr>
                <w:sz w:val="24"/>
              </w:rPr>
              <w:t>72</w:t>
            </w:r>
          </w:p>
        </w:tc>
        <w:tc>
          <w:tcPr>
            <w:tcW w:w="676" w:type="dxa"/>
            <w:noWrap w:val="0"/>
            <w:tcMar>
              <w:left w:w="57" w:type="dxa"/>
              <w:right w:w="57" w:type="dxa"/>
            </w:tcMar>
            <w:vAlign w:val="center"/>
          </w:tcPr>
          <w:p>
            <w:pPr>
              <w:rPr>
                <w:sz w:val="24"/>
              </w:rPr>
            </w:pPr>
            <w:r>
              <w:rPr>
                <w:sz w:val="24"/>
              </w:rPr>
              <w:t>66</w:t>
            </w:r>
          </w:p>
        </w:tc>
        <w:tc>
          <w:tcPr>
            <w:tcW w:w="676" w:type="dxa"/>
            <w:noWrap w:val="0"/>
            <w:tcMar>
              <w:left w:w="57" w:type="dxa"/>
              <w:right w:w="57" w:type="dxa"/>
            </w:tcMar>
            <w:vAlign w:val="center"/>
          </w:tcPr>
          <w:p>
            <w:pPr>
              <w:rPr>
                <w:sz w:val="24"/>
              </w:rPr>
            </w:pPr>
            <w:r>
              <w:rPr>
                <w:sz w:val="24"/>
              </w:rPr>
              <w:t>63</w:t>
            </w:r>
          </w:p>
        </w:tc>
        <w:tc>
          <w:tcPr>
            <w:tcW w:w="676" w:type="dxa"/>
            <w:noWrap w:val="0"/>
            <w:tcMar>
              <w:left w:w="57" w:type="dxa"/>
              <w:right w:w="57" w:type="dxa"/>
            </w:tcMar>
            <w:vAlign w:val="center"/>
          </w:tcPr>
          <w:p>
            <w:pPr>
              <w:rPr>
                <w:sz w:val="24"/>
              </w:rPr>
            </w:pPr>
            <w:r>
              <w:rPr>
                <w:sz w:val="24"/>
              </w:rPr>
              <w:t>60</w:t>
            </w:r>
          </w:p>
        </w:tc>
        <w:tc>
          <w:tcPr>
            <w:tcW w:w="750" w:type="dxa"/>
            <w:noWrap w:val="0"/>
            <w:tcMar>
              <w:left w:w="57" w:type="dxa"/>
              <w:right w:w="57" w:type="dxa"/>
            </w:tcMar>
            <w:vAlign w:val="center"/>
          </w:tcPr>
          <w:p>
            <w:pPr>
              <w:rPr>
                <w:sz w:val="24"/>
              </w:rPr>
            </w:pPr>
            <w:r>
              <w:rPr>
                <w:sz w:val="24"/>
              </w:rPr>
              <w:t>58</w:t>
            </w:r>
          </w:p>
        </w:tc>
        <w:tc>
          <w:tcPr>
            <w:tcW w:w="750" w:type="dxa"/>
            <w:noWrap w:val="0"/>
            <w:tcMar>
              <w:left w:w="57" w:type="dxa"/>
              <w:right w:w="57" w:type="dxa"/>
            </w:tcMar>
            <w:vAlign w:val="center"/>
          </w:tcPr>
          <w:p>
            <w:pPr>
              <w:rPr>
                <w:sz w:val="24"/>
              </w:rPr>
            </w:pPr>
            <w:r>
              <w:rPr>
                <w:sz w:val="24"/>
              </w:rPr>
              <w:t>55</w:t>
            </w:r>
          </w:p>
        </w:tc>
        <w:tc>
          <w:tcPr>
            <w:tcW w:w="764" w:type="dxa"/>
            <w:noWrap w:val="0"/>
            <w:tcMar>
              <w:left w:w="57" w:type="dxa"/>
              <w:right w:w="57" w:type="dxa"/>
            </w:tcMar>
            <w:vAlign w:val="center"/>
          </w:tcPr>
          <w:p>
            <w:pPr>
              <w:rPr>
                <w:sz w:val="24"/>
              </w:rPr>
            </w:pPr>
            <w:r>
              <w:rPr>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2</w:t>
            </w:r>
          </w:p>
        </w:tc>
        <w:tc>
          <w:tcPr>
            <w:tcW w:w="1111" w:type="dxa"/>
            <w:noWrap w:val="0"/>
            <w:tcMar>
              <w:left w:w="57" w:type="dxa"/>
              <w:right w:w="57" w:type="dxa"/>
            </w:tcMar>
            <w:vAlign w:val="center"/>
          </w:tcPr>
          <w:p>
            <w:pPr>
              <w:rPr>
                <w:sz w:val="24"/>
              </w:rPr>
            </w:pPr>
            <w:r>
              <w:rPr>
                <w:sz w:val="24"/>
              </w:rPr>
              <w:t>装载车</w:t>
            </w:r>
          </w:p>
        </w:tc>
        <w:tc>
          <w:tcPr>
            <w:tcW w:w="604" w:type="dxa"/>
            <w:noWrap w:val="0"/>
            <w:tcMar>
              <w:left w:w="57" w:type="dxa"/>
              <w:right w:w="57" w:type="dxa"/>
            </w:tcMar>
            <w:vAlign w:val="center"/>
          </w:tcPr>
          <w:p>
            <w:pPr>
              <w:rPr>
                <w:sz w:val="24"/>
              </w:rPr>
            </w:pPr>
            <w:r>
              <w:rPr>
                <w:sz w:val="24"/>
              </w:rPr>
              <w:t>106</w:t>
            </w:r>
          </w:p>
        </w:tc>
        <w:tc>
          <w:tcPr>
            <w:tcW w:w="706" w:type="dxa"/>
            <w:noWrap w:val="0"/>
            <w:tcMar>
              <w:left w:w="57" w:type="dxa"/>
              <w:right w:w="57" w:type="dxa"/>
            </w:tcMar>
            <w:vAlign w:val="center"/>
          </w:tcPr>
          <w:p>
            <w:pPr>
              <w:rPr>
                <w:sz w:val="24"/>
              </w:rPr>
            </w:pPr>
            <w:r>
              <w:rPr>
                <w:sz w:val="24"/>
              </w:rPr>
              <w:t>84</w:t>
            </w:r>
          </w:p>
        </w:tc>
        <w:tc>
          <w:tcPr>
            <w:tcW w:w="676" w:type="dxa"/>
            <w:noWrap w:val="0"/>
            <w:tcMar>
              <w:left w:w="57" w:type="dxa"/>
              <w:right w:w="57" w:type="dxa"/>
            </w:tcMar>
            <w:vAlign w:val="center"/>
          </w:tcPr>
          <w:p>
            <w:pPr>
              <w:rPr>
                <w:sz w:val="24"/>
              </w:rPr>
            </w:pPr>
            <w:r>
              <w:rPr>
                <w:sz w:val="24"/>
              </w:rPr>
              <w:t>78</w:t>
            </w:r>
          </w:p>
        </w:tc>
        <w:tc>
          <w:tcPr>
            <w:tcW w:w="676" w:type="dxa"/>
            <w:noWrap w:val="0"/>
            <w:tcMar>
              <w:left w:w="57" w:type="dxa"/>
              <w:right w:w="57" w:type="dxa"/>
            </w:tcMar>
            <w:vAlign w:val="center"/>
          </w:tcPr>
          <w:p>
            <w:pPr>
              <w:rPr>
                <w:sz w:val="24"/>
              </w:rPr>
            </w:pPr>
            <w:r>
              <w:rPr>
                <w:sz w:val="24"/>
              </w:rPr>
              <w:t>72</w:t>
            </w:r>
          </w:p>
        </w:tc>
        <w:tc>
          <w:tcPr>
            <w:tcW w:w="676" w:type="dxa"/>
            <w:noWrap w:val="0"/>
            <w:tcMar>
              <w:left w:w="57" w:type="dxa"/>
              <w:right w:w="57" w:type="dxa"/>
            </w:tcMar>
            <w:vAlign w:val="center"/>
          </w:tcPr>
          <w:p>
            <w:pPr>
              <w:rPr>
                <w:sz w:val="24"/>
              </w:rPr>
            </w:pPr>
            <w:r>
              <w:rPr>
                <w:sz w:val="24"/>
              </w:rPr>
              <w:t>66</w:t>
            </w:r>
          </w:p>
        </w:tc>
        <w:tc>
          <w:tcPr>
            <w:tcW w:w="676" w:type="dxa"/>
            <w:noWrap w:val="0"/>
            <w:tcMar>
              <w:left w:w="57" w:type="dxa"/>
              <w:right w:w="57" w:type="dxa"/>
            </w:tcMar>
            <w:vAlign w:val="center"/>
          </w:tcPr>
          <w:p>
            <w:pPr>
              <w:rPr>
                <w:sz w:val="24"/>
              </w:rPr>
            </w:pPr>
            <w:r>
              <w:rPr>
                <w:sz w:val="24"/>
              </w:rPr>
              <w:t>63</w:t>
            </w:r>
          </w:p>
        </w:tc>
        <w:tc>
          <w:tcPr>
            <w:tcW w:w="676" w:type="dxa"/>
            <w:noWrap w:val="0"/>
            <w:tcMar>
              <w:left w:w="57" w:type="dxa"/>
              <w:right w:w="57" w:type="dxa"/>
            </w:tcMar>
            <w:vAlign w:val="center"/>
          </w:tcPr>
          <w:p>
            <w:pPr>
              <w:rPr>
                <w:sz w:val="24"/>
              </w:rPr>
            </w:pPr>
            <w:r>
              <w:rPr>
                <w:sz w:val="24"/>
              </w:rPr>
              <w:t>60</w:t>
            </w:r>
          </w:p>
        </w:tc>
        <w:tc>
          <w:tcPr>
            <w:tcW w:w="750" w:type="dxa"/>
            <w:noWrap w:val="0"/>
            <w:tcMar>
              <w:left w:w="57" w:type="dxa"/>
              <w:right w:w="57" w:type="dxa"/>
            </w:tcMar>
            <w:vAlign w:val="center"/>
          </w:tcPr>
          <w:p>
            <w:pPr>
              <w:rPr>
                <w:sz w:val="24"/>
              </w:rPr>
            </w:pPr>
            <w:r>
              <w:rPr>
                <w:sz w:val="24"/>
              </w:rPr>
              <w:t>58</w:t>
            </w:r>
          </w:p>
        </w:tc>
        <w:tc>
          <w:tcPr>
            <w:tcW w:w="750" w:type="dxa"/>
            <w:noWrap w:val="0"/>
            <w:tcMar>
              <w:left w:w="57" w:type="dxa"/>
              <w:right w:w="57" w:type="dxa"/>
            </w:tcMar>
            <w:vAlign w:val="center"/>
          </w:tcPr>
          <w:p>
            <w:pPr>
              <w:rPr>
                <w:sz w:val="24"/>
              </w:rPr>
            </w:pPr>
            <w:r>
              <w:rPr>
                <w:sz w:val="24"/>
              </w:rPr>
              <w:t>55</w:t>
            </w:r>
          </w:p>
        </w:tc>
        <w:tc>
          <w:tcPr>
            <w:tcW w:w="764" w:type="dxa"/>
            <w:noWrap w:val="0"/>
            <w:tcMar>
              <w:left w:w="57" w:type="dxa"/>
              <w:right w:w="57" w:type="dxa"/>
            </w:tcMar>
            <w:vAlign w:val="center"/>
          </w:tcPr>
          <w:p>
            <w:pPr>
              <w:rPr>
                <w:sz w:val="24"/>
              </w:rPr>
            </w:pPr>
            <w:r>
              <w:rPr>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3</w:t>
            </w:r>
          </w:p>
        </w:tc>
        <w:tc>
          <w:tcPr>
            <w:tcW w:w="1111" w:type="dxa"/>
            <w:noWrap w:val="0"/>
            <w:tcMar>
              <w:left w:w="57" w:type="dxa"/>
              <w:right w:w="57" w:type="dxa"/>
            </w:tcMar>
            <w:vAlign w:val="center"/>
          </w:tcPr>
          <w:p>
            <w:pPr>
              <w:rPr>
                <w:sz w:val="24"/>
              </w:rPr>
            </w:pPr>
            <w:r>
              <w:rPr>
                <w:sz w:val="24"/>
              </w:rPr>
              <w:t>推土机</w:t>
            </w:r>
          </w:p>
        </w:tc>
        <w:tc>
          <w:tcPr>
            <w:tcW w:w="604" w:type="dxa"/>
            <w:noWrap w:val="0"/>
            <w:tcMar>
              <w:left w:w="57" w:type="dxa"/>
              <w:right w:w="57" w:type="dxa"/>
            </w:tcMar>
            <w:vAlign w:val="center"/>
          </w:tcPr>
          <w:p>
            <w:pPr>
              <w:rPr>
                <w:sz w:val="24"/>
              </w:rPr>
            </w:pPr>
            <w:r>
              <w:rPr>
                <w:sz w:val="24"/>
              </w:rPr>
              <w:t>116</w:t>
            </w:r>
          </w:p>
        </w:tc>
        <w:tc>
          <w:tcPr>
            <w:tcW w:w="706" w:type="dxa"/>
            <w:noWrap w:val="0"/>
            <w:tcMar>
              <w:left w:w="57" w:type="dxa"/>
              <w:right w:w="57" w:type="dxa"/>
            </w:tcMar>
            <w:vAlign w:val="center"/>
          </w:tcPr>
          <w:p>
            <w:pPr>
              <w:rPr>
                <w:sz w:val="24"/>
              </w:rPr>
            </w:pPr>
            <w:r>
              <w:rPr>
                <w:sz w:val="24"/>
              </w:rPr>
              <w:t>94</w:t>
            </w:r>
          </w:p>
        </w:tc>
        <w:tc>
          <w:tcPr>
            <w:tcW w:w="676" w:type="dxa"/>
            <w:noWrap w:val="0"/>
            <w:tcMar>
              <w:left w:w="57" w:type="dxa"/>
              <w:right w:w="57" w:type="dxa"/>
            </w:tcMar>
            <w:vAlign w:val="center"/>
          </w:tcPr>
          <w:p>
            <w:pPr>
              <w:rPr>
                <w:sz w:val="24"/>
              </w:rPr>
            </w:pPr>
            <w:r>
              <w:rPr>
                <w:sz w:val="24"/>
              </w:rPr>
              <w:t>88</w:t>
            </w:r>
          </w:p>
        </w:tc>
        <w:tc>
          <w:tcPr>
            <w:tcW w:w="676" w:type="dxa"/>
            <w:noWrap w:val="0"/>
            <w:tcMar>
              <w:left w:w="57" w:type="dxa"/>
              <w:right w:w="57" w:type="dxa"/>
            </w:tcMar>
            <w:vAlign w:val="center"/>
          </w:tcPr>
          <w:p>
            <w:pPr>
              <w:rPr>
                <w:sz w:val="24"/>
              </w:rPr>
            </w:pPr>
            <w:r>
              <w:rPr>
                <w:sz w:val="24"/>
              </w:rPr>
              <w:t>82</w:t>
            </w:r>
          </w:p>
        </w:tc>
        <w:tc>
          <w:tcPr>
            <w:tcW w:w="676" w:type="dxa"/>
            <w:noWrap w:val="0"/>
            <w:tcMar>
              <w:left w:w="57" w:type="dxa"/>
              <w:right w:w="57" w:type="dxa"/>
            </w:tcMar>
            <w:vAlign w:val="center"/>
          </w:tcPr>
          <w:p>
            <w:pPr>
              <w:rPr>
                <w:sz w:val="24"/>
              </w:rPr>
            </w:pPr>
            <w:r>
              <w:rPr>
                <w:sz w:val="24"/>
              </w:rPr>
              <w:t>76</w:t>
            </w:r>
          </w:p>
        </w:tc>
        <w:tc>
          <w:tcPr>
            <w:tcW w:w="676" w:type="dxa"/>
            <w:noWrap w:val="0"/>
            <w:tcMar>
              <w:left w:w="57" w:type="dxa"/>
              <w:right w:w="57" w:type="dxa"/>
            </w:tcMar>
            <w:vAlign w:val="center"/>
          </w:tcPr>
          <w:p>
            <w:pPr>
              <w:rPr>
                <w:sz w:val="24"/>
              </w:rPr>
            </w:pPr>
            <w:r>
              <w:rPr>
                <w:sz w:val="24"/>
              </w:rPr>
              <w:t>73</w:t>
            </w:r>
          </w:p>
        </w:tc>
        <w:tc>
          <w:tcPr>
            <w:tcW w:w="676" w:type="dxa"/>
            <w:noWrap w:val="0"/>
            <w:tcMar>
              <w:left w:w="57" w:type="dxa"/>
              <w:right w:w="57" w:type="dxa"/>
            </w:tcMar>
            <w:vAlign w:val="center"/>
          </w:tcPr>
          <w:p>
            <w:pPr>
              <w:rPr>
                <w:sz w:val="24"/>
              </w:rPr>
            </w:pPr>
            <w:r>
              <w:rPr>
                <w:sz w:val="24"/>
              </w:rPr>
              <w:t>70</w:t>
            </w:r>
          </w:p>
        </w:tc>
        <w:tc>
          <w:tcPr>
            <w:tcW w:w="750" w:type="dxa"/>
            <w:noWrap w:val="0"/>
            <w:tcMar>
              <w:left w:w="57" w:type="dxa"/>
              <w:right w:w="57" w:type="dxa"/>
            </w:tcMar>
            <w:vAlign w:val="center"/>
          </w:tcPr>
          <w:p>
            <w:pPr>
              <w:rPr>
                <w:sz w:val="24"/>
              </w:rPr>
            </w:pPr>
            <w:r>
              <w:rPr>
                <w:sz w:val="24"/>
              </w:rPr>
              <w:t>68</w:t>
            </w:r>
          </w:p>
        </w:tc>
        <w:tc>
          <w:tcPr>
            <w:tcW w:w="750" w:type="dxa"/>
            <w:noWrap w:val="0"/>
            <w:tcMar>
              <w:left w:w="57" w:type="dxa"/>
              <w:right w:w="57" w:type="dxa"/>
            </w:tcMar>
            <w:vAlign w:val="center"/>
          </w:tcPr>
          <w:p>
            <w:pPr>
              <w:rPr>
                <w:sz w:val="24"/>
              </w:rPr>
            </w:pPr>
            <w:r>
              <w:rPr>
                <w:sz w:val="24"/>
              </w:rPr>
              <w:t>65</w:t>
            </w:r>
          </w:p>
        </w:tc>
        <w:tc>
          <w:tcPr>
            <w:tcW w:w="764" w:type="dxa"/>
            <w:noWrap w:val="0"/>
            <w:tcMar>
              <w:left w:w="57" w:type="dxa"/>
              <w:right w:w="57" w:type="dxa"/>
            </w:tcMar>
            <w:vAlign w:val="center"/>
          </w:tcPr>
          <w:p>
            <w:pPr>
              <w:rPr>
                <w:sz w:val="24"/>
              </w:rPr>
            </w:pPr>
            <w:r>
              <w:rPr>
                <w:sz w:val="24"/>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4</w:t>
            </w:r>
          </w:p>
        </w:tc>
        <w:tc>
          <w:tcPr>
            <w:tcW w:w="1111" w:type="dxa"/>
            <w:noWrap w:val="0"/>
            <w:tcMar>
              <w:left w:w="57" w:type="dxa"/>
              <w:right w:w="57" w:type="dxa"/>
            </w:tcMar>
            <w:vAlign w:val="center"/>
          </w:tcPr>
          <w:p>
            <w:pPr>
              <w:rPr>
                <w:sz w:val="24"/>
              </w:rPr>
            </w:pPr>
            <w:r>
              <w:rPr>
                <w:sz w:val="24"/>
              </w:rPr>
              <w:t>挖掘机</w:t>
            </w:r>
          </w:p>
        </w:tc>
        <w:tc>
          <w:tcPr>
            <w:tcW w:w="604" w:type="dxa"/>
            <w:noWrap w:val="0"/>
            <w:tcMar>
              <w:left w:w="57" w:type="dxa"/>
              <w:right w:w="57" w:type="dxa"/>
            </w:tcMar>
            <w:vAlign w:val="center"/>
          </w:tcPr>
          <w:p>
            <w:pPr>
              <w:rPr>
                <w:sz w:val="24"/>
              </w:rPr>
            </w:pPr>
            <w:r>
              <w:rPr>
                <w:sz w:val="24"/>
              </w:rPr>
              <w:t>108</w:t>
            </w:r>
          </w:p>
        </w:tc>
        <w:tc>
          <w:tcPr>
            <w:tcW w:w="706" w:type="dxa"/>
            <w:noWrap w:val="0"/>
            <w:tcMar>
              <w:left w:w="57" w:type="dxa"/>
              <w:right w:w="57" w:type="dxa"/>
            </w:tcMar>
            <w:vAlign w:val="center"/>
          </w:tcPr>
          <w:p>
            <w:pPr>
              <w:rPr>
                <w:sz w:val="24"/>
              </w:rPr>
            </w:pPr>
            <w:r>
              <w:rPr>
                <w:sz w:val="24"/>
              </w:rPr>
              <w:t>86</w:t>
            </w:r>
          </w:p>
        </w:tc>
        <w:tc>
          <w:tcPr>
            <w:tcW w:w="676" w:type="dxa"/>
            <w:noWrap w:val="0"/>
            <w:tcMar>
              <w:left w:w="57" w:type="dxa"/>
              <w:right w:w="57" w:type="dxa"/>
            </w:tcMar>
            <w:vAlign w:val="center"/>
          </w:tcPr>
          <w:p>
            <w:pPr>
              <w:rPr>
                <w:sz w:val="24"/>
              </w:rPr>
            </w:pPr>
            <w:r>
              <w:rPr>
                <w:sz w:val="24"/>
              </w:rPr>
              <w:t>80</w:t>
            </w:r>
          </w:p>
        </w:tc>
        <w:tc>
          <w:tcPr>
            <w:tcW w:w="676" w:type="dxa"/>
            <w:noWrap w:val="0"/>
            <w:tcMar>
              <w:left w:w="57" w:type="dxa"/>
              <w:right w:w="57" w:type="dxa"/>
            </w:tcMar>
            <w:vAlign w:val="center"/>
          </w:tcPr>
          <w:p>
            <w:pPr>
              <w:rPr>
                <w:sz w:val="24"/>
              </w:rPr>
            </w:pPr>
            <w:r>
              <w:rPr>
                <w:sz w:val="24"/>
              </w:rPr>
              <w:t>74</w:t>
            </w:r>
          </w:p>
        </w:tc>
        <w:tc>
          <w:tcPr>
            <w:tcW w:w="676" w:type="dxa"/>
            <w:noWrap w:val="0"/>
            <w:tcMar>
              <w:left w:w="57" w:type="dxa"/>
              <w:right w:w="57" w:type="dxa"/>
            </w:tcMar>
            <w:vAlign w:val="center"/>
          </w:tcPr>
          <w:p>
            <w:pPr>
              <w:rPr>
                <w:sz w:val="24"/>
              </w:rPr>
            </w:pPr>
            <w:r>
              <w:rPr>
                <w:sz w:val="24"/>
              </w:rPr>
              <w:t>68</w:t>
            </w:r>
          </w:p>
        </w:tc>
        <w:tc>
          <w:tcPr>
            <w:tcW w:w="676" w:type="dxa"/>
            <w:noWrap w:val="0"/>
            <w:tcMar>
              <w:left w:w="57" w:type="dxa"/>
              <w:right w:w="57" w:type="dxa"/>
            </w:tcMar>
            <w:vAlign w:val="center"/>
          </w:tcPr>
          <w:p>
            <w:pPr>
              <w:rPr>
                <w:sz w:val="24"/>
              </w:rPr>
            </w:pPr>
            <w:r>
              <w:rPr>
                <w:sz w:val="24"/>
              </w:rPr>
              <w:t>65</w:t>
            </w:r>
          </w:p>
        </w:tc>
        <w:tc>
          <w:tcPr>
            <w:tcW w:w="676" w:type="dxa"/>
            <w:noWrap w:val="0"/>
            <w:tcMar>
              <w:left w:w="57" w:type="dxa"/>
              <w:right w:w="57" w:type="dxa"/>
            </w:tcMar>
            <w:vAlign w:val="center"/>
          </w:tcPr>
          <w:p>
            <w:pPr>
              <w:rPr>
                <w:sz w:val="24"/>
              </w:rPr>
            </w:pPr>
            <w:r>
              <w:rPr>
                <w:sz w:val="24"/>
              </w:rPr>
              <w:t>62</w:t>
            </w:r>
          </w:p>
        </w:tc>
        <w:tc>
          <w:tcPr>
            <w:tcW w:w="750" w:type="dxa"/>
            <w:noWrap w:val="0"/>
            <w:tcMar>
              <w:left w:w="57" w:type="dxa"/>
              <w:right w:w="57" w:type="dxa"/>
            </w:tcMar>
            <w:vAlign w:val="center"/>
          </w:tcPr>
          <w:p>
            <w:pPr>
              <w:rPr>
                <w:sz w:val="24"/>
              </w:rPr>
            </w:pPr>
            <w:r>
              <w:rPr>
                <w:sz w:val="24"/>
              </w:rPr>
              <w:t>60</w:t>
            </w:r>
          </w:p>
        </w:tc>
        <w:tc>
          <w:tcPr>
            <w:tcW w:w="750" w:type="dxa"/>
            <w:noWrap w:val="0"/>
            <w:tcMar>
              <w:left w:w="57" w:type="dxa"/>
              <w:right w:w="57" w:type="dxa"/>
            </w:tcMar>
            <w:vAlign w:val="center"/>
          </w:tcPr>
          <w:p>
            <w:pPr>
              <w:rPr>
                <w:sz w:val="24"/>
              </w:rPr>
            </w:pPr>
            <w:r>
              <w:rPr>
                <w:sz w:val="24"/>
              </w:rPr>
              <w:t>57</w:t>
            </w:r>
          </w:p>
        </w:tc>
        <w:tc>
          <w:tcPr>
            <w:tcW w:w="764" w:type="dxa"/>
            <w:noWrap w:val="0"/>
            <w:tcMar>
              <w:left w:w="57" w:type="dxa"/>
              <w:right w:w="57" w:type="dxa"/>
            </w:tcMar>
            <w:vAlign w:val="center"/>
          </w:tcPr>
          <w:p>
            <w:pPr>
              <w:rPr>
                <w:sz w:val="24"/>
              </w:rPr>
            </w:pPr>
            <w:r>
              <w:rPr>
                <w:sz w:val="24"/>
              </w:rPr>
              <w:t>5482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5</w:t>
            </w:r>
          </w:p>
        </w:tc>
        <w:tc>
          <w:tcPr>
            <w:tcW w:w="1111" w:type="dxa"/>
            <w:noWrap w:val="0"/>
            <w:tcMar>
              <w:left w:w="57" w:type="dxa"/>
              <w:right w:w="57" w:type="dxa"/>
            </w:tcMar>
            <w:vAlign w:val="center"/>
          </w:tcPr>
          <w:p>
            <w:pPr>
              <w:rPr>
                <w:sz w:val="24"/>
              </w:rPr>
            </w:pPr>
            <w:r>
              <w:rPr>
                <w:sz w:val="24"/>
              </w:rPr>
              <w:t>打桩机</w:t>
            </w:r>
          </w:p>
        </w:tc>
        <w:tc>
          <w:tcPr>
            <w:tcW w:w="604" w:type="dxa"/>
            <w:noWrap w:val="0"/>
            <w:tcMar>
              <w:left w:w="57" w:type="dxa"/>
              <w:right w:w="57" w:type="dxa"/>
            </w:tcMar>
            <w:vAlign w:val="center"/>
          </w:tcPr>
          <w:p>
            <w:pPr>
              <w:rPr>
                <w:sz w:val="24"/>
              </w:rPr>
            </w:pPr>
            <w:r>
              <w:rPr>
                <w:sz w:val="24"/>
              </w:rPr>
              <w:t>136</w:t>
            </w:r>
          </w:p>
        </w:tc>
        <w:tc>
          <w:tcPr>
            <w:tcW w:w="706" w:type="dxa"/>
            <w:noWrap w:val="0"/>
            <w:tcMar>
              <w:left w:w="57" w:type="dxa"/>
              <w:right w:w="57" w:type="dxa"/>
            </w:tcMar>
            <w:vAlign w:val="center"/>
          </w:tcPr>
          <w:p>
            <w:pPr>
              <w:rPr>
                <w:sz w:val="24"/>
              </w:rPr>
            </w:pPr>
            <w:r>
              <w:rPr>
                <w:sz w:val="24"/>
              </w:rPr>
              <w:t>114</w:t>
            </w:r>
          </w:p>
        </w:tc>
        <w:tc>
          <w:tcPr>
            <w:tcW w:w="676" w:type="dxa"/>
            <w:noWrap w:val="0"/>
            <w:tcMar>
              <w:left w:w="57" w:type="dxa"/>
              <w:right w:w="57" w:type="dxa"/>
            </w:tcMar>
            <w:vAlign w:val="center"/>
          </w:tcPr>
          <w:p>
            <w:pPr>
              <w:rPr>
                <w:sz w:val="24"/>
              </w:rPr>
            </w:pPr>
            <w:r>
              <w:rPr>
                <w:sz w:val="24"/>
              </w:rPr>
              <w:t>108</w:t>
            </w:r>
          </w:p>
        </w:tc>
        <w:tc>
          <w:tcPr>
            <w:tcW w:w="676" w:type="dxa"/>
            <w:noWrap w:val="0"/>
            <w:tcMar>
              <w:left w:w="57" w:type="dxa"/>
              <w:right w:w="57" w:type="dxa"/>
            </w:tcMar>
            <w:vAlign w:val="center"/>
          </w:tcPr>
          <w:p>
            <w:pPr>
              <w:rPr>
                <w:sz w:val="24"/>
              </w:rPr>
            </w:pPr>
            <w:r>
              <w:rPr>
                <w:sz w:val="24"/>
              </w:rPr>
              <w:t>103</w:t>
            </w:r>
          </w:p>
        </w:tc>
        <w:tc>
          <w:tcPr>
            <w:tcW w:w="676" w:type="dxa"/>
            <w:noWrap w:val="0"/>
            <w:tcMar>
              <w:left w:w="57" w:type="dxa"/>
              <w:right w:w="57" w:type="dxa"/>
            </w:tcMar>
            <w:vAlign w:val="center"/>
          </w:tcPr>
          <w:p>
            <w:pPr>
              <w:rPr>
                <w:sz w:val="24"/>
              </w:rPr>
            </w:pPr>
            <w:r>
              <w:rPr>
                <w:sz w:val="24"/>
              </w:rPr>
              <w:t>96</w:t>
            </w:r>
          </w:p>
        </w:tc>
        <w:tc>
          <w:tcPr>
            <w:tcW w:w="676" w:type="dxa"/>
            <w:noWrap w:val="0"/>
            <w:tcMar>
              <w:left w:w="57" w:type="dxa"/>
              <w:right w:w="57" w:type="dxa"/>
            </w:tcMar>
            <w:vAlign w:val="center"/>
          </w:tcPr>
          <w:p>
            <w:pPr>
              <w:rPr>
                <w:sz w:val="24"/>
              </w:rPr>
            </w:pPr>
            <w:r>
              <w:rPr>
                <w:sz w:val="24"/>
              </w:rPr>
              <w:t>93</w:t>
            </w:r>
          </w:p>
        </w:tc>
        <w:tc>
          <w:tcPr>
            <w:tcW w:w="676" w:type="dxa"/>
            <w:noWrap w:val="0"/>
            <w:tcMar>
              <w:left w:w="57" w:type="dxa"/>
              <w:right w:w="57" w:type="dxa"/>
            </w:tcMar>
            <w:vAlign w:val="center"/>
          </w:tcPr>
          <w:p>
            <w:pPr>
              <w:rPr>
                <w:sz w:val="24"/>
              </w:rPr>
            </w:pPr>
            <w:r>
              <w:rPr>
                <w:sz w:val="24"/>
              </w:rPr>
              <w:t>90</w:t>
            </w:r>
          </w:p>
        </w:tc>
        <w:tc>
          <w:tcPr>
            <w:tcW w:w="750" w:type="dxa"/>
            <w:noWrap w:val="0"/>
            <w:tcMar>
              <w:left w:w="57" w:type="dxa"/>
              <w:right w:w="57" w:type="dxa"/>
            </w:tcMar>
            <w:vAlign w:val="center"/>
          </w:tcPr>
          <w:p>
            <w:pPr>
              <w:rPr>
                <w:sz w:val="24"/>
              </w:rPr>
            </w:pPr>
            <w:r>
              <w:rPr>
                <w:sz w:val="24"/>
              </w:rPr>
              <w:t>88</w:t>
            </w:r>
          </w:p>
        </w:tc>
        <w:tc>
          <w:tcPr>
            <w:tcW w:w="750" w:type="dxa"/>
            <w:noWrap w:val="0"/>
            <w:tcMar>
              <w:left w:w="57" w:type="dxa"/>
              <w:right w:w="57" w:type="dxa"/>
            </w:tcMar>
            <w:vAlign w:val="center"/>
          </w:tcPr>
          <w:p>
            <w:pPr>
              <w:rPr>
                <w:sz w:val="24"/>
              </w:rPr>
            </w:pPr>
            <w:r>
              <w:rPr>
                <w:sz w:val="24"/>
              </w:rPr>
              <w:t>85</w:t>
            </w:r>
          </w:p>
        </w:tc>
        <w:tc>
          <w:tcPr>
            <w:tcW w:w="764" w:type="dxa"/>
            <w:noWrap w:val="0"/>
            <w:tcMar>
              <w:left w:w="57" w:type="dxa"/>
              <w:right w:w="57" w:type="dxa"/>
            </w:tcMar>
            <w:vAlign w:val="center"/>
          </w:tcPr>
          <w:p>
            <w:pPr>
              <w:rPr>
                <w:sz w:val="24"/>
              </w:rPr>
            </w:pPr>
            <w:r>
              <w:rPr>
                <w:sz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6</w:t>
            </w:r>
          </w:p>
        </w:tc>
        <w:tc>
          <w:tcPr>
            <w:tcW w:w="1111" w:type="dxa"/>
            <w:noWrap w:val="0"/>
            <w:tcMar>
              <w:left w:w="57" w:type="dxa"/>
              <w:right w:w="57" w:type="dxa"/>
            </w:tcMar>
            <w:vAlign w:val="center"/>
          </w:tcPr>
          <w:p>
            <w:pPr>
              <w:rPr>
                <w:sz w:val="24"/>
              </w:rPr>
            </w:pPr>
            <w:r>
              <w:rPr>
                <w:sz w:val="24"/>
              </w:rPr>
              <w:t>混凝土</w:t>
            </w:r>
          </w:p>
          <w:p>
            <w:pPr>
              <w:rPr>
                <w:sz w:val="24"/>
              </w:rPr>
            </w:pPr>
            <w:r>
              <w:rPr>
                <w:sz w:val="24"/>
              </w:rPr>
              <w:t>搅拌车</w:t>
            </w:r>
          </w:p>
        </w:tc>
        <w:tc>
          <w:tcPr>
            <w:tcW w:w="604" w:type="dxa"/>
            <w:noWrap w:val="0"/>
            <w:tcMar>
              <w:left w:w="57" w:type="dxa"/>
              <w:right w:w="57" w:type="dxa"/>
            </w:tcMar>
            <w:vAlign w:val="center"/>
          </w:tcPr>
          <w:p>
            <w:pPr>
              <w:rPr>
                <w:sz w:val="24"/>
              </w:rPr>
            </w:pPr>
            <w:r>
              <w:rPr>
                <w:sz w:val="24"/>
              </w:rPr>
              <w:t>110</w:t>
            </w:r>
          </w:p>
        </w:tc>
        <w:tc>
          <w:tcPr>
            <w:tcW w:w="706" w:type="dxa"/>
            <w:noWrap w:val="0"/>
            <w:tcMar>
              <w:left w:w="57" w:type="dxa"/>
              <w:right w:w="57" w:type="dxa"/>
            </w:tcMar>
            <w:vAlign w:val="center"/>
          </w:tcPr>
          <w:p>
            <w:pPr>
              <w:rPr>
                <w:sz w:val="24"/>
              </w:rPr>
            </w:pPr>
            <w:r>
              <w:rPr>
                <w:sz w:val="24"/>
              </w:rPr>
              <w:t>88</w:t>
            </w:r>
          </w:p>
        </w:tc>
        <w:tc>
          <w:tcPr>
            <w:tcW w:w="676" w:type="dxa"/>
            <w:noWrap w:val="0"/>
            <w:tcMar>
              <w:left w:w="57" w:type="dxa"/>
              <w:right w:w="57" w:type="dxa"/>
            </w:tcMar>
            <w:vAlign w:val="center"/>
          </w:tcPr>
          <w:p>
            <w:pPr>
              <w:rPr>
                <w:sz w:val="24"/>
              </w:rPr>
            </w:pPr>
            <w:r>
              <w:rPr>
                <w:sz w:val="24"/>
              </w:rPr>
              <w:t>82</w:t>
            </w:r>
          </w:p>
        </w:tc>
        <w:tc>
          <w:tcPr>
            <w:tcW w:w="676" w:type="dxa"/>
            <w:noWrap w:val="0"/>
            <w:tcMar>
              <w:left w:w="57" w:type="dxa"/>
              <w:right w:w="57" w:type="dxa"/>
            </w:tcMar>
            <w:vAlign w:val="center"/>
          </w:tcPr>
          <w:p>
            <w:pPr>
              <w:rPr>
                <w:sz w:val="24"/>
              </w:rPr>
            </w:pPr>
            <w:r>
              <w:rPr>
                <w:sz w:val="24"/>
              </w:rPr>
              <w:t>76</w:t>
            </w:r>
          </w:p>
        </w:tc>
        <w:tc>
          <w:tcPr>
            <w:tcW w:w="676" w:type="dxa"/>
            <w:noWrap w:val="0"/>
            <w:tcMar>
              <w:left w:w="57" w:type="dxa"/>
              <w:right w:w="57" w:type="dxa"/>
            </w:tcMar>
            <w:vAlign w:val="center"/>
          </w:tcPr>
          <w:p>
            <w:pPr>
              <w:rPr>
                <w:sz w:val="24"/>
              </w:rPr>
            </w:pPr>
            <w:r>
              <w:rPr>
                <w:sz w:val="24"/>
              </w:rPr>
              <w:t>70</w:t>
            </w:r>
          </w:p>
        </w:tc>
        <w:tc>
          <w:tcPr>
            <w:tcW w:w="676" w:type="dxa"/>
            <w:noWrap w:val="0"/>
            <w:tcMar>
              <w:left w:w="57" w:type="dxa"/>
              <w:right w:w="57" w:type="dxa"/>
            </w:tcMar>
            <w:vAlign w:val="center"/>
          </w:tcPr>
          <w:p>
            <w:pPr>
              <w:rPr>
                <w:sz w:val="24"/>
              </w:rPr>
            </w:pPr>
            <w:r>
              <w:rPr>
                <w:sz w:val="24"/>
              </w:rPr>
              <w:t>67</w:t>
            </w:r>
          </w:p>
        </w:tc>
        <w:tc>
          <w:tcPr>
            <w:tcW w:w="676" w:type="dxa"/>
            <w:noWrap w:val="0"/>
            <w:tcMar>
              <w:left w:w="57" w:type="dxa"/>
              <w:right w:w="57" w:type="dxa"/>
            </w:tcMar>
            <w:vAlign w:val="center"/>
          </w:tcPr>
          <w:p>
            <w:pPr>
              <w:rPr>
                <w:sz w:val="24"/>
              </w:rPr>
            </w:pPr>
            <w:r>
              <w:rPr>
                <w:sz w:val="24"/>
              </w:rPr>
              <w:t>64</w:t>
            </w:r>
          </w:p>
        </w:tc>
        <w:tc>
          <w:tcPr>
            <w:tcW w:w="750" w:type="dxa"/>
            <w:noWrap w:val="0"/>
            <w:tcMar>
              <w:left w:w="57" w:type="dxa"/>
              <w:right w:w="57" w:type="dxa"/>
            </w:tcMar>
            <w:vAlign w:val="center"/>
          </w:tcPr>
          <w:p>
            <w:pPr>
              <w:rPr>
                <w:sz w:val="24"/>
              </w:rPr>
            </w:pPr>
            <w:r>
              <w:rPr>
                <w:sz w:val="24"/>
              </w:rPr>
              <w:t>62</w:t>
            </w:r>
          </w:p>
        </w:tc>
        <w:tc>
          <w:tcPr>
            <w:tcW w:w="750" w:type="dxa"/>
            <w:noWrap w:val="0"/>
            <w:tcMar>
              <w:left w:w="57" w:type="dxa"/>
              <w:right w:w="57" w:type="dxa"/>
            </w:tcMar>
            <w:vAlign w:val="center"/>
          </w:tcPr>
          <w:p>
            <w:pPr>
              <w:rPr>
                <w:sz w:val="24"/>
              </w:rPr>
            </w:pPr>
            <w:r>
              <w:rPr>
                <w:sz w:val="24"/>
              </w:rPr>
              <w:t>59</w:t>
            </w:r>
          </w:p>
        </w:tc>
        <w:tc>
          <w:tcPr>
            <w:tcW w:w="764" w:type="dxa"/>
            <w:noWrap w:val="0"/>
            <w:tcMar>
              <w:left w:w="57" w:type="dxa"/>
              <w:right w:w="57" w:type="dxa"/>
            </w:tcMar>
            <w:vAlign w:val="center"/>
          </w:tcPr>
          <w:p>
            <w:pPr>
              <w:rPr>
                <w:sz w:val="24"/>
              </w:rPr>
            </w:pPr>
            <w:r>
              <w:rPr>
                <w:sz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7</w:t>
            </w:r>
          </w:p>
        </w:tc>
        <w:tc>
          <w:tcPr>
            <w:tcW w:w="1111" w:type="dxa"/>
            <w:noWrap w:val="0"/>
            <w:tcMar>
              <w:left w:w="57" w:type="dxa"/>
              <w:right w:w="57" w:type="dxa"/>
            </w:tcMar>
            <w:vAlign w:val="center"/>
          </w:tcPr>
          <w:p>
            <w:pPr>
              <w:rPr>
                <w:sz w:val="24"/>
              </w:rPr>
            </w:pPr>
            <w:r>
              <w:rPr>
                <w:sz w:val="24"/>
              </w:rPr>
              <w:t>振捣棒</w:t>
            </w:r>
          </w:p>
        </w:tc>
        <w:tc>
          <w:tcPr>
            <w:tcW w:w="604" w:type="dxa"/>
            <w:noWrap w:val="0"/>
            <w:tcMar>
              <w:left w:w="57" w:type="dxa"/>
              <w:right w:w="57" w:type="dxa"/>
            </w:tcMar>
            <w:vAlign w:val="center"/>
          </w:tcPr>
          <w:p>
            <w:pPr>
              <w:rPr>
                <w:sz w:val="24"/>
              </w:rPr>
            </w:pPr>
            <w:r>
              <w:rPr>
                <w:sz w:val="24"/>
              </w:rPr>
              <w:t>101</w:t>
            </w:r>
          </w:p>
        </w:tc>
        <w:tc>
          <w:tcPr>
            <w:tcW w:w="706" w:type="dxa"/>
            <w:noWrap w:val="0"/>
            <w:tcMar>
              <w:left w:w="57" w:type="dxa"/>
              <w:right w:w="57" w:type="dxa"/>
            </w:tcMar>
            <w:vAlign w:val="center"/>
          </w:tcPr>
          <w:p>
            <w:pPr>
              <w:rPr>
                <w:sz w:val="24"/>
              </w:rPr>
            </w:pPr>
            <w:r>
              <w:rPr>
                <w:sz w:val="24"/>
              </w:rPr>
              <w:t>79</w:t>
            </w:r>
          </w:p>
        </w:tc>
        <w:tc>
          <w:tcPr>
            <w:tcW w:w="676" w:type="dxa"/>
            <w:noWrap w:val="0"/>
            <w:tcMar>
              <w:left w:w="57" w:type="dxa"/>
              <w:right w:w="57" w:type="dxa"/>
            </w:tcMar>
            <w:vAlign w:val="center"/>
          </w:tcPr>
          <w:p>
            <w:pPr>
              <w:rPr>
                <w:sz w:val="24"/>
              </w:rPr>
            </w:pPr>
            <w:r>
              <w:rPr>
                <w:sz w:val="24"/>
              </w:rPr>
              <w:t>73</w:t>
            </w:r>
          </w:p>
        </w:tc>
        <w:tc>
          <w:tcPr>
            <w:tcW w:w="676" w:type="dxa"/>
            <w:noWrap w:val="0"/>
            <w:tcMar>
              <w:left w:w="57" w:type="dxa"/>
              <w:right w:w="57" w:type="dxa"/>
            </w:tcMar>
            <w:vAlign w:val="center"/>
          </w:tcPr>
          <w:p>
            <w:pPr>
              <w:rPr>
                <w:sz w:val="24"/>
              </w:rPr>
            </w:pPr>
            <w:r>
              <w:rPr>
                <w:sz w:val="24"/>
              </w:rPr>
              <w:t>67</w:t>
            </w:r>
          </w:p>
        </w:tc>
        <w:tc>
          <w:tcPr>
            <w:tcW w:w="676" w:type="dxa"/>
            <w:noWrap w:val="0"/>
            <w:tcMar>
              <w:left w:w="57" w:type="dxa"/>
              <w:right w:w="57" w:type="dxa"/>
            </w:tcMar>
            <w:vAlign w:val="center"/>
          </w:tcPr>
          <w:p>
            <w:pPr>
              <w:rPr>
                <w:sz w:val="24"/>
              </w:rPr>
            </w:pPr>
            <w:r>
              <w:rPr>
                <w:sz w:val="24"/>
              </w:rPr>
              <w:t>61</w:t>
            </w:r>
          </w:p>
        </w:tc>
        <w:tc>
          <w:tcPr>
            <w:tcW w:w="676" w:type="dxa"/>
            <w:noWrap w:val="0"/>
            <w:tcMar>
              <w:left w:w="57" w:type="dxa"/>
              <w:right w:w="57" w:type="dxa"/>
            </w:tcMar>
            <w:vAlign w:val="center"/>
          </w:tcPr>
          <w:p>
            <w:pPr>
              <w:rPr>
                <w:sz w:val="24"/>
              </w:rPr>
            </w:pPr>
            <w:r>
              <w:rPr>
                <w:sz w:val="24"/>
              </w:rPr>
              <w:t>58</w:t>
            </w:r>
          </w:p>
        </w:tc>
        <w:tc>
          <w:tcPr>
            <w:tcW w:w="676" w:type="dxa"/>
            <w:noWrap w:val="0"/>
            <w:tcMar>
              <w:left w:w="57" w:type="dxa"/>
              <w:right w:w="57" w:type="dxa"/>
            </w:tcMar>
            <w:vAlign w:val="center"/>
          </w:tcPr>
          <w:p>
            <w:pPr>
              <w:rPr>
                <w:sz w:val="24"/>
              </w:rPr>
            </w:pPr>
            <w:r>
              <w:rPr>
                <w:sz w:val="24"/>
              </w:rPr>
              <w:t>55</w:t>
            </w:r>
          </w:p>
        </w:tc>
        <w:tc>
          <w:tcPr>
            <w:tcW w:w="750" w:type="dxa"/>
            <w:noWrap w:val="0"/>
            <w:tcMar>
              <w:left w:w="57" w:type="dxa"/>
              <w:right w:w="57" w:type="dxa"/>
            </w:tcMar>
            <w:vAlign w:val="center"/>
          </w:tcPr>
          <w:p>
            <w:pPr>
              <w:rPr>
                <w:sz w:val="24"/>
              </w:rPr>
            </w:pPr>
            <w:r>
              <w:rPr>
                <w:sz w:val="24"/>
              </w:rPr>
              <w:t>53</w:t>
            </w:r>
          </w:p>
        </w:tc>
        <w:tc>
          <w:tcPr>
            <w:tcW w:w="750" w:type="dxa"/>
            <w:noWrap w:val="0"/>
            <w:tcMar>
              <w:left w:w="57" w:type="dxa"/>
              <w:right w:w="57" w:type="dxa"/>
            </w:tcMar>
            <w:vAlign w:val="center"/>
          </w:tcPr>
          <w:p>
            <w:pPr>
              <w:rPr>
                <w:sz w:val="24"/>
              </w:rPr>
            </w:pPr>
            <w:r>
              <w:rPr>
                <w:sz w:val="24"/>
              </w:rPr>
              <w:t>50</w:t>
            </w:r>
          </w:p>
        </w:tc>
        <w:tc>
          <w:tcPr>
            <w:tcW w:w="764" w:type="dxa"/>
            <w:noWrap w:val="0"/>
            <w:tcMar>
              <w:left w:w="57" w:type="dxa"/>
              <w:right w:w="57" w:type="dxa"/>
            </w:tcMar>
            <w:vAlign w:val="center"/>
          </w:tcPr>
          <w:p>
            <w:pPr>
              <w:rPr>
                <w:sz w:val="24"/>
              </w:rPr>
            </w:pPr>
            <w:r>
              <w:rPr>
                <w:sz w:val="24"/>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8</w:t>
            </w:r>
          </w:p>
        </w:tc>
        <w:tc>
          <w:tcPr>
            <w:tcW w:w="1111" w:type="dxa"/>
            <w:noWrap w:val="0"/>
            <w:tcMar>
              <w:left w:w="57" w:type="dxa"/>
              <w:right w:w="57" w:type="dxa"/>
            </w:tcMar>
            <w:vAlign w:val="center"/>
          </w:tcPr>
          <w:p>
            <w:pPr>
              <w:rPr>
                <w:sz w:val="24"/>
              </w:rPr>
            </w:pPr>
            <w:r>
              <w:rPr>
                <w:sz w:val="24"/>
              </w:rPr>
              <w:t>电  锯</w:t>
            </w:r>
          </w:p>
        </w:tc>
        <w:tc>
          <w:tcPr>
            <w:tcW w:w="604" w:type="dxa"/>
            <w:noWrap w:val="0"/>
            <w:tcMar>
              <w:left w:w="57" w:type="dxa"/>
              <w:right w:w="57" w:type="dxa"/>
            </w:tcMar>
            <w:vAlign w:val="center"/>
          </w:tcPr>
          <w:p>
            <w:pPr>
              <w:rPr>
                <w:sz w:val="24"/>
              </w:rPr>
            </w:pPr>
            <w:r>
              <w:rPr>
                <w:sz w:val="24"/>
              </w:rPr>
              <w:t>111</w:t>
            </w:r>
          </w:p>
        </w:tc>
        <w:tc>
          <w:tcPr>
            <w:tcW w:w="706" w:type="dxa"/>
            <w:noWrap w:val="0"/>
            <w:tcMar>
              <w:left w:w="57" w:type="dxa"/>
              <w:right w:w="57" w:type="dxa"/>
            </w:tcMar>
            <w:vAlign w:val="center"/>
          </w:tcPr>
          <w:p>
            <w:pPr>
              <w:rPr>
                <w:sz w:val="24"/>
              </w:rPr>
            </w:pPr>
            <w:r>
              <w:rPr>
                <w:sz w:val="24"/>
              </w:rPr>
              <w:t>89</w:t>
            </w:r>
          </w:p>
        </w:tc>
        <w:tc>
          <w:tcPr>
            <w:tcW w:w="676" w:type="dxa"/>
            <w:noWrap w:val="0"/>
            <w:tcMar>
              <w:left w:w="57" w:type="dxa"/>
              <w:right w:w="57" w:type="dxa"/>
            </w:tcMar>
            <w:vAlign w:val="center"/>
          </w:tcPr>
          <w:p>
            <w:pPr>
              <w:rPr>
                <w:sz w:val="24"/>
              </w:rPr>
            </w:pPr>
            <w:r>
              <w:rPr>
                <w:sz w:val="24"/>
              </w:rPr>
              <w:t>83</w:t>
            </w:r>
          </w:p>
        </w:tc>
        <w:tc>
          <w:tcPr>
            <w:tcW w:w="676" w:type="dxa"/>
            <w:noWrap w:val="0"/>
            <w:tcMar>
              <w:left w:w="57" w:type="dxa"/>
              <w:right w:w="57" w:type="dxa"/>
            </w:tcMar>
            <w:vAlign w:val="center"/>
          </w:tcPr>
          <w:p>
            <w:pPr>
              <w:rPr>
                <w:sz w:val="24"/>
              </w:rPr>
            </w:pPr>
            <w:r>
              <w:rPr>
                <w:sz w:val="24"/>
              </w:rPr>
              <w:t>77</w:t>
            </w:r>
          </w:p>
        </w:tc>
        <w:tc>
          <w:tcPr>
            <w:tcW w:w="676" w:type="dxa"/>
            <w:noWrap w:val="0"/>
            <w:tcMar>
              <w:left w:w="57" w:type="dxa"/>
              <w:right w:w="57" w:type="dxa"/>
            </w:tcMar>
            <w:vAlign w:val="center"/>
          </w:tcPr>
          <w:p>
            <w:pPr>
              <w:rPr>
                <w:sz w:val="24"/>
              </w:rPr>
            </w:pPr>
            <w:r>
              <w:rPr>
                <w:sz w:val="24"/>
              </w:rPr>
              <w:t>71</w:t>
            </w:r>
          </w:p>
        </w:tc>
        <w:tc>
          <w:tcPr>
            <w:tcW w:w="676" w:type="dxa"/>
            <w:noWrap w:val="0"/>
            <w:tcMar>
              <w:left w:w="57" w:type="dxa"/>
              <w:right w:w="57" w:type="dxa"/>
            </w:tcMar>
            <w:vAlign w:val="center"/>
          </w:tcPr>
          <w:p>
            <w:pPr>
              <w:rPr>
                <w:sz w:val="24"/>
              </w:rPr>
            </w:pPr>
            <w:r>
              <w:rPr>
                <w:sz w:val="24"/>
              </w:rPr>
              <w:t>68</w:t>
            </w:r>
          </w:p>
        </w:tc>
        <w:tc>
          <w:tcPr>
            <w:tcW w:w="676" w:type="dxa"/>
            <w:noWrap w:val="0"/>
            <w:tcMar>
              <w:left w:w="57" w:type="dxa"/>
              <w:right w:w="57" w:type="dxa"/>
            </w:tcMar>
            <w:vAlign w:val="center"/>
          </w:tcPr>
          <w:p>
            <w:pPr>
              <w:rPr>
                <w:sz w:val="24"/>
              </w:rPr>
            </w:pPr>
            <w:r>
              <w:rPr>
                <w:sz w:val="24"/>
              </w:rPr>
              <w:t>65</w:t>
            </w:r>
          </w:p>
        </w:tc>
        <w:tc>
          <w:tcPr>
            <w:tcW w:w="750" w:type="dxa"/>
            <w:noWrap w:val="0"/>
            <w:tcMar>
              <w:left w:w="57" w:type="dxa"/>
              <w:right w:w="57" w:type="dxa"/>
            </w:tcMar>
            <w:vAlign w:val="center"/>
          </w:tcPr>
          <w:p>
            <w:pPr>
              <w:rPr>
                <w:sz w:val="24"/>
              </w:rPr>
            </w:pPr>
            <w:r>
              <w:rPr>
                <w:sz w:val="24"/>
              </w:rPr>
              <w:t>63</w:t>
            </w:r>
          </w:p>
        </w:tc>
        <w:tc>
          <w:tcPr>
            <w:tcW w:w="750" w:type="dxa"/>
            <w:noWrap w:val="0"/>
            <w:tcMar>
              <w:left w:w="57" w:type="dxa"/>
              <w:right w:w="57" w:type="dxa"/>
            </w:tcMar>
            <w:vAlign w:val="center"/>
          </w:tcPr>
          <w:p>
            <w:pPr>
              <w:rPr>
                <w:sz w:val="24"/>
              </w:rPr>
            </w:pPr>
            <w:r>
              <w:rPr>
                <w:sz w:val="24"/>
              </w:rPr>
              <w:t>60</w:t>
            </w:r>
          </w:p>
        </w:tc>
        <w:tc>
          <w:tcPr>
            <w:tcW w:w="764" w:type="dxa"/>
            <w:noWrap w:val="0"/>
            <w:tcMar>
              <w:left w:w="57" w:type="dxa"/>
              <w:right w:w="57" w:type="dxa"/>
            </w:tcMar>
            <w:vAlign w:val="center"/>
          </w:tcPr>
          <w:p>
            <w:pPr>
              <w:rPr>
                <w:sz w:val="24"/>
              </w:rPr>
            </w:pPr>
            <w:r>
              <w:rPr>
                <w:sz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9</w:t>
            </w:r>
          </w:p>
        </w:tc>
        <w:tc>
          <w:tcPr>
            <w:tcW w:w="1111" w:type="dxa"/>
            <w:noWrap w:val="0"/>
            <w:tcMar>
              <w:left w:w="57" w:type="dxa"/>
              <w:right w:w="57" w:type="dxa"/>
            </w:tcMar>
            <w:vAlign w:val="center"/>
          </w:tcPr>
          <w:p>
            <w:pPr>
              <w:rPr>
                <w:sz w:val="24"/>
              </w:rPr>
            </w:pPr>
            <w:r>
              <w:rPr>
                <w:sz w:val="24"/>
              </w:rPr>
              <w:t>吊  车</w:t>
            </w:r>
          </w:p>
        </w:tc>
        <w:tc>
          <w:tcPr>
            <w:tcW w:w="604" w:type="dxa"/>
            <w:noWrap w:val="0"/>
            <w:tcMar>
              <w:left w:w="57" w:type="dxa"/>
              <w:right w:w="57" w:type="dxa"/>
            </w:tcMar>
            <w:vAlign w:val="center"/>
          </w:tcPr>
          <w:p>
            <w:pPr>
              <w:rPr>
                <w:sz w:val="24"/>
              </w:rPr>
            </w:pPr>
            <w:r>
              <w:rPr>
                <w:sz w:val="24"/>
              </w:rPr>
              <w:t>103</w:t>
            </w:r>
          </w:p>
        </w:tc>
        <w:tc>
          <w:tcPr>
            <w:tcW w:w="706" w:type="dxa"/>
            <w:noWrap w:val="0"/>
            <w:tcMar>
              <w:left w:w="57" w:type="dxa"/>
              <w:right w:w="57" w:type="dxa"/>
            </w:tcMar>
            <w:vAlign w:val="center"/>
          </w:tcPr>
          <w:p>
            <w:pPr>
              <w:rPr>
                <w:sz w:val="24"/>
              </w:rPr>
            </w:pPr>
            <w:r>
              <w:rPr>
                <w:sz w:val="24"/>
              </w:rPr>
              <w:t>81</w:t>
            </w:r>
          </w:p>
        </w:tc>
        <w:tc>
          <w:tcPr>
            <w:tcW w:w="676" w:type="dxa"/>
            <w:noWrap w:val="0"/>
            <w:tcMar>
              <w:left w:w="57" w:type="dxa"/>
              <w:right w:w="57" w:type="dxa"/>
            </w:tcMar>
            <w:vAlign w:val="center"/>
          </w:tcPr>
          <w:p>
            <w:pPr>
              <w:rPr>
                <w:sz w:val="24"/>
              </w:rPr>
            </w:pPr>
            <w:r>
              <w:rPr>
                <w:sz w:val="24"/>
              </w:rPr>
              <w:t>75</w:t>
            </w:r>
          </w:p>
        </w:tc>
        <w:tc>
          <w:tcPr>
            <w:tcW w:w="676" w:type="dxa"/>
            <w:noWrap w:val="0"/>
            <w:tcMar>
              <w:left w:w="57" w:type="dxa"/>
              <w:right w:w="57" w:type="dxa"/>
            </w:tcMar>
            <w:vAlign w:val="center"/>
          </w:tcPr>
          <w:p>
            <w:pPr>
              <w:rPr>
                <w:sz w:val="24"/>
              </w:rPr>
            </w:pPr>
            <w:r>
              <w:rPr>
                <w:sz w:val="24"/>
              </w:rPr>
              <w:t>69</w:t>
            </w:r>
          </w:p>
        </w:tc>
        <w:tc>
          <w:tcPr>
            <w:tcW w:w="676" w:type="dxa"/>
            <w:noWrap w:val="0"/>
            <w:tcMar>
              <w:left w:w="57" w:type="dxa"/>
              <w:right w:w="57" w:type="dxa"/>
            </w:tcMar>
            <w:vAlign w:val="center"/>
          </w:tcPr>
          <w:p>
            <w:pPr>
              <w:rPr>
                <w:sz w:val="24"/>
              </w:rPr>
            </w:pPr>
            <w:r>
              <w:rPr>
                <w:sz w:val="24"/>
              </w:rPr>
              <w:t>63</w:t>
            </w:r>
          </w:p>
        </w:tc>
        <w:tc>
          <w:tcPr>
            <w:tcW w:w="676" w:type="dxa"/>
            <w:noWrap w:val="0"/>
            <w:tcMar>
              <w:left w:w="57" w:type="dxa"/>
              <w:right w:w="57" w:type="dxa"/>
            </w:tcMar>
            <w:vAlign w:val="center"/>
          </w:tcPr>
          <w:p>
            <w:pPr>
              <w:rPr>
                <w:sz w:val="24"/>
              </w:rPr>
            </w:pPr>
            <w:r>
              <w:rPr>
                <w:sz w:val="24"/>
              </w:rPr>
              <w:t>60</w:t>
            </w:r>
          </w:p>
        </w:tc>
        <w:tc>
          <w:tcPr>
            <w:tcW w:w="676" w:type="dxa"/>
            <w:noWrap w:val="0"/>
            <w:tcMar>
              <w:left w:w="57" w:type="dxa"/>
              <w:right w:w="57" w:type="dxa"/>
            </w:tcMar>
            <w:vAlign w:val="center"/>
          </w:tcPr>
          <w:p>
            <w:pPr>
              <w:rPr>
                <w:sz w:val="24"/>
              </w:rPr>
            </w:pPr>
            <w:r>
              <w:rPr>
                <w:sz w:val="24"/>
              </w:rPr>
              <w:t>57</w:t>
            </w:r>
          </w:p>
        </w:tc>
        <w:tc>
          <w:tcPr>
            <w:tcW w:w="750" w:type="dxa"/>
            <w:noWrap w:val="0"/>
            <w:tcMar>
              <w:left w:w="57" w:type="dxa"/>
              <w:right w:w="57" w:type="dxa"/>
            </w:tcMar>
            <w:vAlign w:val="center"/>
          </w:tcPr>
          <w:p>
            <w:pPr>
              <w:rPr>
                <w:sz w:val="24"/>
              </w:rPr>
            </w:pPr>
            <w:r>
              <w:rPr>
                <w:sz w:val="24"/>
              </w:rPr>
              <w:t>55</w:t>
            </w:r>
          </w:p>
        </w:tc>
        <w:tc>
          <w:tcPr>
            <w:tcW w:w="750" w:type="dxa"/>
            <w:noWrap w:val="0"/>
            <w:tcMar>
              <w:left w:w="57" w:type="dxa"/>
              <w:right w:w="57" w:type="dxa"/>
            </w:tcMar>
            <w:vAlign w:val="center"/>
          </w:tcPr>
          <w:p>
            <w:pPr>
              <w:rPr>
                <w:sz w:val="24"/>
              </w:rPr>
            </w:pPr>
            <w:r>
              <w:rPr>
                <w:sz w:val="24"/>
              </w:rPr>
              <w:t>52</w:t>
            </w:r>
          </w:p>
        </w:tc>
        <w:tc>
          <w:tcPr>
            <w:tcW w:w="764" w:type="dxa"/>
            <w:noWrap w:val="0"/>
            <w:tcMar>
              <w:left w:w="57" w:type="dxa"/>
              <w:right w:w="57" w:type="dxa"/>
            </w:tcMar>
            <w:vAlign w:val="center"/>
          </w:tcPr>
          <w:p>
            <w:pPr>
              <w:rPr>
                <w:sz w:val="24"/>
              </w:rPr>
            </w:pPr>
            <w:r>
              <w:rPr>
                <w:sz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10</w:t>
            </w:r>
          </w:p>
        </w:tc>
        <w:tc>
          <w:tcPr>
            <w:tcW w:w="1111" w:type="dxa"/>
            <w:noWrap w:val="0"/>
            <w:tcMar>
              <w:left w:w="57" w:type="dxa"/>
              <w:right w:w="57" w:type="dxa"/>
            </w:tcMar>
            <w:vAlign w:val="center"/>
          </w:tcPr>
          <w:p>
            <w:pPr>
              <w:rPr>
                <w:sz w:val="24"/>
              </w:rPr>
            </w:pPr>
            <w:r>
              <w:rPr>
                <w:sz w:val="24"/>
              </w:rPr>
              <w:t>工程钻机</w:t>
            </w:r>
          </w:p>
        </w:tc>
        <w:tc>
          <w:tcPr>
            <w:tcW w:w="604" w:type="dxa"/>
            <w:noWrap w:val="0"/>
            <w:tcMar>
              <w:left w:w="57" w:type="dxa"/>
              <w:right w:w="57" w:type="dxa"/>
            </w:tcMar>
            <w:vAlign w:val="center"/>
          </w:tcPr>
          <w:p>
            <w:pPr>
              <w:rPr>
                <w:sz w:val="24"/>
              </w:rPr>
            </w:pPr>
            <w:r>
              <w:rPr>
                <w:sz w:val="24"/>
              </w:rPr>
              <w:t>96</w:t>
            </w:r>
          </w:p>
        </w:tc>
        <w:tc>
          <w:tcPr>
            <w:tcW w:w="706" w:type="dxa"/>
            <w:noWrap w:val="0"/>
            <w:tcMar>
              <w:left w:w="57" w:type="dxa"/>
              <w:right w:w="57" w:type="dxa"/>
            </w:tcMar>
            <w:vAlign w:val="center"/>
          </w:tcPr>
          <w:p>
            <w:pPr>
              <w:rPr>
                <w:sz w:val="24"/>
              </w:rPr>
            </w:pPr>
            <w:r>
              <w:rPr>
                <w:sz w:val="24"/>
              </w:rPr>
              <w:t>74</w:t>
            </w:r>
          </w:p>
        </w:tc>
        <w:tc>
          <w:tcPr>
            <w:tcW w:w="676" w:type="dxa"/>
            <w:noWrap w:val="0"/>
            <w:tcMar>
              <w:left w:w="57" w:type="dxa"/>
              <w:right w:w="57" w:type="dxa"/>
            </w:tcMar>
            <w:vAlign w:val="center"/>
          </w:tcPr>
          <w:p>
            <w:pPr>
              <w:rPr>
                <w:sz w:val="24"/>
              </w:rPr>
            </w:pPr>
            <w:r>
              <w:rPr>
                <w:sz w:val="24"/>
              </w:rPr>
              <w:t>68</w:t>
            </w:r>
          </w:p>
        </w:tc>
        <w:tc>
          <w:tcPr>
            <w:tcW w:w="676" w:type="dxa"/>
            <w:noWrap w:val="0"/>
            <w:tcMar>
              <w:left w:w="57" w:type="dxa"/>
              <w:right w:w="57" w:type="dxa"/>
            </w:tcMar>
            <w:vAlign w:val="center"/>
          </w:tcPr>
          <w:p>
            <w:pPr>
              <w:rPr>
                <w:sz w:val="24"/>
              </w:rPr>
            </w:pPr>
            <w:r>
              <w:rPr>
                <w:sz w:val="24"/>
              </w:rPr>
              <w:t>62</w:t>
            </w:r>
          </w:p>
        </w:tc>
        <w:tc>
          <w:tcPr>
            <w:tcW w:w="676" w:type="dxa"/>
            <w:noWrap w:val="0"/>
            <w:tcMar>
              <w:left w:w="57" w:type="dxa"/>
              <w:right w:w="57" w:type="dxa"/>
            </w:tcMar>
            <w:vAlign w:val="center"/>
          </w:tcPr>
          <w:p>
            <w:pPr>
              <w:rPr>
                <w:sz w:val="24"/>
              </w:rPr>
            </w:pPr>
            <w:r>
              <w:rPr>
                <w:sz w:val="24"/>
              </w:rPr>
              <w:t>56</w:t>
            </w:r>
          </w:p>
        </w:tc>
        <w:tc>
          <w:tcPr>
            <w:tcW w:w="676" w:type="dxa"/>
            <w:noWrap w:val="0"/>
            <w:tcMar>
              <w:left w:w="57" w:type="dxa"/>
              <w:right w:w="57" w:type="dxa"/>
            </w:tcMar>
            <w:vAlign w:val="center"/>
          </w:tcPr>
          <w:p>
            <w:pPr>
              <w:rPr>
                <w:sz w:val="24"/>
              </w:rPr>
            </w:pPr>
            <w:r>
              <w:rPr>
                <w:sz w:val="24"/>
              </w:rPr>
              <w:t>53</w:t>
            </w:r>
          </w:p>
        </w:tc>
        <w:tc>
          <w:tcPr>
            <w:tcW w:w="676" w:type="dxa"/>
            <w:noWrap w:val="0"/>
            <w:tcMar>
              <w:left w:w="57" w:type="dxa"/>
              <w:right w:w="57" w:type="dxa"/>
            </w:tcMar>
            <w:vAlign w:val="center"/>
          </w:tcPr>
          <w:p>
            <w:pPr>
              <w:rPr>
                <w:sz w:val="24"/>
              </w:rPr>
            </w:pPr>
            <w:r>
              <w:rPr>
                <w:sz w:val="24"/>
              </w:rPr>
              <w:t>50</w:t>
            </w:r>
          </w:p>
        </w:tc>
        <w:tc>
          <w:tcPr>
            <w:tcW w:w="750" w:type="dxa"/>
            <w:noWrap w:val="0"/>
            <w:tcMar>
              <w:left w:w="57" w:type="dxa"/>
              <w:right w:w="57" w:type="dxa"/>
            </w:tcMar>
            <w:vAlign w:val="center"/>
          </w:tcPr>
          <w:p>
            <w:pPr>
              <w:rPr>
                <w:sz w:val="24"/>
              </w:rPr>
            </w:pPr>
            <w:r>
              <w:rPr>
                <w:sz w:val="24"/>
              </w:rPr>
              <w:t>48</w:t>
            </w:r>
          </w:p>
        </w:tc>
        <w:tc>
          <w:tcPr>
            <w:tcW w:w="750" w:type="dxa"/>
            <w:noWrap w:val="0"/>
            <w:tcMar>
              <w:left w:w="57" w:type="dxa"/>
              <w:right w:w="57" w:type="dxa"/>
            </w:tcMar>
            <w:vAlign w:val="center"/>
          </w:tcPr>
          <w:p>
            <w:pPr>
              <w:rPr>
                <w:sz w:val="24"/>
              </w:rPr>
            </w:pPr>
            <w:r>
              <w:rPr>
                <w:sz w:val="24"/>
              </w:rPr>
              <w:t>45</w:t>
            </w:r>
          </w:p>
        </w:tc>
        <w:tc>
          <w:tcPr>
            <w:tcW w:w="764" w:type="dxa"/>
            <w:noWrap w:val="0"/>
            <w:tcMar>
              <w:left w:w="57" w:type="dxa"/>
              <w:right w:w="57" w:type="dxa"/>
            </w:tcMar>
            <w:vAlign w:val="center"/>
          </w:tcPr>
          <w:p>
            <w:pPr>
              <w:rPr>
                <w:sz w:val="24"/>
              </w:rPr>
            </w:pPr>
            <w:r>
              <w:rPr>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11</w:t>
            </w:r>
          </w:p>
        </w:tc>
        <w:tc>
          <w:tcPr>
            <w:tcW w:w="1111" w:type="dxa"/>
            <w:noWrap w:val="0"/>
            <w:tcMar>
              <w:left w:w="57" w:type="dxa"/>
              <w:right w:w="57" w:type="dxa"/>
            </w:tcMar>
            <w:vAlign w:val="center"/>
          </w:tcPr>
          <w:p>
            <w:pPr>
              <w:rPr>
                <w:sz w:val="24"/>
              </w:rPr>
            </w:pPr>
            <w:r>
              <w:rPr>
                <w:sz w:val="24"/>
              </w:rPr>
              <w:t>平地机</w:t>
            </w:r>
          </w:p>
        </w:tc>
        <w:tc>
          <w:tcPr>
            <w:tcW w:w="604" w:type="dxa"/>
            <w:noWrap w:val="0"/>
            <w:tcMar>
              <w:left w:w="57" w:type="dxa"/>
              <w:right w:w="57" w:type="dxa"/>
            </w:tcMar>
            <w:vAlign w:val="center"/>
          </w:tcPr>
          <w:p>
            <w:pPr>
              <w:rPr>
                <w:sz w:val="24"/>
              </w:rPr>
            </w:pPr>
            <w:r>
              <w:rPr>
                <w:sz w:val="24"/>
              </w:rPr>
              <w:t>106</w:t>
            </w:r>
          </w:p>
        </w:tc>
        <w:tc>
          <w:tcPr>
            <w:tcW w:w="706" w:type="dxa"/>
            <w:noWrap w:val="0"/>
            <w:tcMar>
              <w:left w:w="57" w:type="dxa"/>
              <w:right w:w="57" w:type="dxa"/>
            </w:tcMar>
            <w:vAlign w:val="center"/>
          </w:tcPr>
          <w:p>
            <w:pPr>
              <w:rPr>
                <w:sz w:val="24"/>
              </w:rPr>
            </w:pPr>
            <w:r>
              <w:rPr>
                <w:sz w:val="24"/>
              </w:rPr>
              <w:t>84</w:t>
            </w:r>
          </w:p>
        </w:tc>
        <w:tc>
          <w:tcPr>
            <w:tcW w:w="676" w:type="dxa"/>
            <w:noWrap w:val="0"/>
            <w:tcMar>
              <w:left w:w="57" w:type="dxa"/>
              <w:right w:w="57" w:type="dxa"/>
            </w:tcMar>
            <w:vAlign w:val="center"/>
          </w:tcPr>
          <w:p>
            <w:pPr>
              <w:rPr>
                <w:sz w:val="24"/>
              </w:rPr>
            </w:pPr>
            <w:r>
              <w:rPr>
                <w:sz w:val="24"/>
              </w:rPr>
              <w:t>78</w:t>
            </w:r>
          </w:p>
        </w:tc>
        <w:tc>
          <w:tcPr>
            <w:tcW w:w="676" w:type="dxa"/>
            <w:noWrap w:val="0"/>
            <w:tcMar>
              <w:left w:w="57" w:type="dxa"/>
              <w:right w:w="57" w:type="dxa"/>
            </w:tcMar>
            <w:vAlign w:val="center"/>
          </w:tcPr>
          <w:p>
            <w:pPr>
              <w:rPr>
                <w:sz w:val="24"/>
              </w:rPr>
            </w:pPr>
            <w:r>
              <w:rPr>
                <w:sz w:val="24"/>
              </w:rPr>
              <w:t>72</w:t>
            </w:r>
          </w:p>
        </w:tc>
        <w:tc>
          <w:tcPr>
            <w:tcW w:w="676" w:type="dxa"/>
            <w:noWrap w:val="0"/>
            <w:tcMar>
              <w:left w:w="57" w:type="dxa"/>
              <w:right w:w="57" w:type="dxa"/>
            </w:tcMar>
            <w:vAlign w:val="center"/>
          </w:tcPr>
          <w:p>
            <w:pPr>
              <w:rPr>
                <w:sz w:val="24"/>
              </w:rPr>
            </w:pPr>
            <w:r>
              <w:rPr>
                <w:sz w:val="24"/>
              </w:rPr>
              <w:t>66</w:t>
            </w:r>
          </w:p>
        </w:tc>
        <w:tc>
          <w:tcPr>
            <w:tcW w:w="676" w:type="dxa"/>
            <w:noWrap w:val="0"/>
            <w:tcMar>
              <w:left w:w="57" w:type="dxa"/>
              <w:right w:w="57" w:type="dxa"/>
            </w:tcMar>
            <w:vAlign w:val="center"/>
          </w:tcPr>
          <w:p>
            <w:pPr>
              <w:rPr>
                <w:sz w:val="24"/>
              </w:rPr>
            </w:pPr>
            <w:r>
              <w:rPr>
                <w:sz w:val="24"/>
              </w:rPr>
              <w:t>63</w:t>
            </w:r>
          </w:p>
        </w:tc>
        <w:tc>
          <w:tcPr>
            <w:tcW w:w="676" w:type="dxa"/>
            <w:noWrap w:val="0"/>
            <w:tcMar>
              <w:left w:w="57" w:type="dxa"/>
              <w:right w:w="57" w:type="dxa"/>
            </w:tcMar>
            <w:vAlign w:val="center"/>
          </w:tcPr>
          <w:p>
            <w:pPr>
              <w:rPr>
                <w:sz w:val="24"/>
              </w:rPr>
            </w:pPr>
            <w:r>
              <w:rPr>
                <w:sz w:val="24"/>
              </w:rPr>
              <w:t>60</w:t>
            </w:r>
          </w:p>
        </w:tc>
        <w:tc>
          <w:tcPr>
            <w:tcW w:w="750" w:type="dxa"/>
            <w:noWrap w:val="0"/>
            <w:tcMar>
              <w:left w:w="57" w:type="dxa"/>
              <w:right w:w="57" w:type="dxa"/>
            </w:tcMar>
            <w:vAlign w:val="center"/>
          </w:tcPr>
          <w:p>
            <w:pPr>
              <w:rPr>
                <w:sz w:val="24"/>
              </w:rPr>
            </w:pPr>
            <w:r>
              <w:rPr>
                <w:sz w:val="24"/>
              </w:rPr>
              <w:t>58</w:t>
            </w:r>
          </w:p>
        </w:tc>
        <w:tc>
          <w:tcPr>
            <w:tcW w:w="750" w:type="dxa"/>
            <w:noWrap w:val="0"/>
            <w:tcMar>
              <w:left w:w="57" w:type="dxa"/>
              <w:right w:w="57" w:type="dxa"/>
            </w:tcMar>
            <w:vAlign w:val="center"/>
          </w:tcPr>
          <w:p>
            <w:pPr>
              <w:rPr>
                <w:sz w:val="24"/>
              </w:rPr>
            </w:pPr>
            <w:r>
              <w:rPr>
                <w:sz w:val="24"/>
              </w:rPr>
              <w:t>55</w:t>
            </w:r>
          </w:p>
        </w:tc>
        <w:tc>
          <w:tcPr>
            <w:tcW w:w="764" w:type="dxa"/>
            <w:noWrap w:val="0"/>
            <w:tcMar>
              <w:left w:w="57" w:type="dxa"/>
              <w:right w:w="57" w:type="dxa"/>
            </w:tcMar>
            <w:vAlign w:val="center"/>
          </w:tcPr>
          <w:p>
            <w:pPr>
              <w:rPr>
                <w:sz w:val="24"/>
              </w:rPr>
            </w:pPr>
            <w:r>
              <w:rPr>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35" w:type="dxa"/>
            <w:noWrap w:val="0"/>
            <w:tcMar>
              <w:left w:w="57" w:type="dxa"/>
              <w:right w:w="57" w:type="dxa"/>
            </w:tcMar>
            <w:vAlign w:val="center"/>
          </w:tcPr>
          <w:p>
            <w:pPr>
              <w:rPr>
                <w:sz w:val="24"/>
              </w:rPr>
            </w:pPr>
            <w:r>
              <w:rPr>
                <w:sz w:val="24"/>
              </w:rPr>
              <w:t>12</w:t>
            </w:r>
          </w:p>
        </w:tc>
        <w:tc>
          <w:tcPr>
            <w:tcW w:w="1111" w:type="dxa"/>
            <w:noWrap w:val="0"/>
            <w:tcMar>
              <w:left w:w="57" w:type="dxa"/>
              <w:right w:w="57" w:type="dxa"/>
            </w:tcMar>
            <w:vAlign w:val="center"/>
          </w:tcPr>
          <w:p>
            <w:pPr>
              <w:rPr>
                <w:sz w:val="24"/>
              </w:rPr>
            </w:pPr>
            <w:r>
              <w:rPr>
                <w:sz w:val="24"/>
              </w:rPr>
              <w:t>移动式空压机</w:t>
            </w:r>
          </w:p>
        </w:tc>
        <w:tc>
          <w:tcPr>
            <w:tcW w:w="604" w:type="dxa"/>
            <w:noWrap w:val="0"/>
            <w:tcMar>
              <w:left w:w="57" w:type="dxa"/>
              <w:right w:w="57" w:type="dxa"/>
            </w:tcMar>
            <w:vAlign w:val="center"/>
          </w:tcPr>
          <w:p>
            <w:pPr>
              <w:rPr>
                <w:sz w:val="24"/>
              </w:rPr>
            </w:pPr>
            <w:r>
              <w:rPr>
                <w:sz w:val="24"/>
              </w:rPr>
              <w:t>109</w:t>
            </w:r>
          </w:p>
        </w:tc>
        <w:tc>
          <w:tcPr>
            <w:tcW w:w="706" w:type="dxa"/>
            <w:noWrap w:val="0"/>
            <w:tcMar>
              <w:left w:w="57" w:type="dxa"/>
              <w:right w:w="57" w:type="dxa"/>
            </w:tcMar>
            <w:vAlign w:val="center"/>
          </w:tcPr>
          <w:p>
            <w:pPr>
              <w:rPr>
                <w:sz w:val="24"/>
              </w:rPr>
            </w:pPr>
            <w:r>
              <w:rPr>
                <w:sz w:val="24"/>
              </w:rPr>
              <w:t>87</w:t>
            </w:r>
          </w:p>
        </w:tc>
        <w:tc>
          <w:tcPr>
            <w:tcW w:w="676" w:type="dxa"/>
            <w:noWrap w:val="0"/>
            <w:tcMar>
              <w:left w:w="57" w:type="dxa"/>
              <w:right w:w="57" w:type="dxa"/>
            </w:tcMar>
            <w:vAlign w:val="center"/>
          </w:tcPr>
          <w:p>
            <w:pPr>
              <w:rPr>
                <w:sz w:val="24"/>
              </w:rPr>
            </w:pPr>
            <w:r>
              <w:rPr>
                <w:sz w:val="24"/>
              </w:rPr>
              <w:t>81</w:t>
            </w:r>
          </w:p>
        </w:tc>
        <w:tc>
          <w:tcPr>
            <w:tcW w:w="676" w:type="dxa"/>
            <w:noWrap w:val="0"/>
            <w:tcMar>
              <w:left w:w="57" w:type="dxa"/>
              <w:right w:w="57" w:type="dxa"/>
            </w:tcMar>
            <w:vAlign w:val="center"/>
          </w:tcPr>
          <w:p>
            <w:pPr>
              <w:rPr>
                <w:sz w:val="24"/>
              </w:rPr>
            </w:pPr>
            <w:r>
              <w:rPr>
                <w:sz w:val="24"/>
              </w:rPr>
              <w:t>75</w:t>
            </w:r>
          </w:p>
        </w:tc>
        <w:tc>
          <w:tcPr>
            <w:tcW w:w="676" w:type="dxa"/>
            <w:noWrap w:val="0"/>
            <w:tcMar>
              <w:left w:w="57" w:type="dxa"/>
              <w:right w:w="57" w:type="dxa"/>
            </w:tcMar>
            <w:vAlign w:val="center"/>
          </w:tcPr>
          <w:p>
            <w:pPr>
              <w:rPr>
                <w:sz w:val="24"/>
              </w:rPr>
            </w:pPr>
            <w:r>
              <w:rPr>
                <w:sz w:val="24"/>
              </w:rPr>
              <w:t>69</w:t>
            </w:r>
          </w:p>
        </w:tc>
        <w:tc>
          <w:tcPr>
            <w:tcW w:w="676" w:type="dxa"/>
            <w:noWrap w:val="0"/>
            <w:tcMar>
              <w:left w:w="57" w:type="dxa"/>
              <w:right w:w="57" w:type="dxa"/>
            </w:tcMar>
            <w:vAlign w:val="center"/>
          </w:tcPr>
          <w:p>
            <w:pPr>
              <w:rPr>
                <w:sz w:val="24"/>
              </w:rPr>
            </w:pPr>
            <w:r>
              <w:rPr>
                <w:sz w:val="24"/>
              </w:rPr>
              <w:t>66</w:t>
            </w:r>
          </w:p>
        </w:tc>
        <w:tc>
          <w:tcPr>
            <w:tcW w:w="676" w:type="dxa"/>
            <w:noWrap w:val="0"/>
            <w:tcMar>
              <w:left w:w="57" w:type="dxa"/>
              <w:right w:w="57" w:type="dxa"/>
            </w:tcMar>
            <w:vAlign w:val="center"/>
          </w:tcPr>
          <w:p>
            <w:pPr>
              <w:rPr>
                <w:sz w:val="24"/>
              </w:rPr>
            </w:pPr>
            <w:r>
              <w:rPr>
                <w:sz w:val="24"/>
              </w:rPr>
              <w:t>64</w:t>
            </w:r>
          </w:p>
        </w:tc>
        <w:tc>
          <w:tcPr>
            <w:tcW w:w="750" w:type="dxa"/>
            <w:noWrap w:val="0"/>
            <w:tcMar>
              <w:left w:w="57" w:type="dxa"/>
              <w:right w:w="57" w:type="dxa"/>
            </w:tcMar>
            <w:vAlign w:val="center"/>
          </w:tcPr>
          <w:p>
            <w:pPr>
              <w:rPr>
                <w:sz w:val="24"/>
              </w:rPr>
            </w:pPr>
            <w:r>
              <w:rPr>
                <w:sz w:val="24"/>
              </w:rPr>
              <w:t>61</w:t>
            </w:r>
          </w:p>
        </w:tc>
        <w:tc>
          <w:tcPr>
            <w:tcW w:w="750" w:type="dxa"/>
            <w:noWrap w:val="0"/>
            <w:tcMar>
              <w:left w:w="57" w:type="dxa"/>
              <w:right w:w="57" w:type="dxa"/>
            </w:tcMar>
            <w:vAlign w:val="center"/>
          </w:tcPr>
          <w:p>
            <w:pPr>
              <w:rPr>
                <w:sz w:val="24"/>
              </w:rPr>
            </w:pPr>
            <w:r>
              <w:rPr>
                <w:sz w:val="24"/>
              </w:rPr>
              <w:t>58</w:t>
            </w:r>
          </w:p>
        </w:tc>
        <w:tc>
          <w:tcPr>
            <w:tcW w:w="764" w:type="dxa"/>
            <w:noWrap w:val="0"/>
            <w:tcMar>
              <w:left w:w="57" w:type="dxa"/>
              <w:right w:w="57" w:type="dxa"/>
            </w:tcMar>
            <w:vAlign w:val="center"/>
          </w:tcPr>
          <w:p>
            <w:pPr>
              <w:rPr>
                <w:sz w:val="24"/>
              </w:rPr>
            </w:pPr>
          </w:p>
        </w:tc>
      </w:tr>
    </w:tbl>
    <w:p>
      <w:pPr>
        <w:rPr>
          <w:rFonts w:hint="eastAsia"/>
          <w:sz w:val="24"/>
        </w:rPr>
      </w:pPr>
    </w:p>
    <w:p>
      <w:pPr>
        <w:tabs>
          <w:tab w:val="left" w:pos="1200"/>
        </w:tabs>
        <w:ind w:firstLine="480" w:firstLineChars="200"/>
        <w:rPr>
          <w:rFonts w:ascii="宋体" w:hAnsi="宋体"/>
          <w:sz w:val="24"/>
        </w:rPr>
      </w:pPr>
      <w:r>
        <w:rPr>
          <w:rFonts w:ascii="宋体" w:hAnsi="宋体"/>
          <w:sz w:val="24"/>
        </w:rPr>
        <w:t>生活垃圾的影响：工程施工时施工区内数百个劳动力的食宿将会安排在工作区域内。这些临时食宿地的污水及生活废弃物若没有做出妥善的处理，则会严重的影响施工区的环境卫生，尤其是在夏天，施工区的生活废弃物乱扔，轻则导致蚊蝇孳生，重则致使施工区工人暴发流行性疾病，严重影响工程施工进度。</w:t>
      </w:r>
    </w:p>
    <w:p>
      <w:pPr>
        <w:tabs>
          <w:tab w:val="left" w:pos="1200"/>
        </w:tabs>
        <w:ind w:firstLine="480" w:firstLineChars="200"/>
        <w:rPr>
          <w:rFonts w:ascii="宋体" w:hAnsi="宋体"/>
          <w:sz w:val="24"/>
        </w:rPr>
      </w:pPr>
      <w:r>
        <w:rPr>
          <w:rFonts w:ascii="宋体" w:hAnsi="宋体"/>
          <w:sz w:val="24"/>
        </w:rPr>
        <w:t>弃土的影响：施工期间将产生许多弃土，这些弃土在运输、处置过程中都可能对环境产生影响。车辆装载过多导致沿程泥土散落满地，晴天尘土飞扬，雨天路面泥泞，影响行人和车辆过往以及环境质量。</w:t>
      </w:r>
    </w:p>
    <w:p>
      <w:pPr>
        <w:tabs>
          <w:tab w:val="left" w:pos="1200"/>
        </w:tabs>
        <w:ind w:firstLine="480" w:firstLineChars="200"/>
        <w:rPr>
          <w:rFonts w:ascii="宋体" w:hAnsi="宋体"/>
          <w:sz w:val="24"/>
        </w:rPr>
      </w:pPr>
      <w:r>
        <w:rPr>
          <w:rFonts w:ascii="宋体" w:hAnsi="宋体"/>
          <w:sz w:val="24"/>
        </w:rPr>
        <w:t>对人工林的影响：人工林在工程建设中由于埋管开挖土地而被挖除，有些可能被移栽它处。施工结束后移出的树木将不在复位，但在挖起、运输和移栽过程中都可能使一部分树木死亡，同时使区域内原来树木不多的问题变得更加突出，路旁人工林的破坏将使附近的居民受环境污染的影响更加严重。</w:t>
      </w:r>
    </w:p>
    <w:p>
      <w:pPr>
        <w:tabs>
          <w:tab w:val="left" w:pos="1200"/>
        </w:tabs>
        <w:ind w:firstLine="480" w:firstLineChars="200"/>
        <w:rPr>
          <w:rFonts w:hint="eastAsia" w:ascii="宋体" w:hAnsi="宋体"/>
          <w:sz w:val="24"/>
        </w:rPr>
      </w:pPr>
      <w:r>
        <w:rPr>
          <w:rFonts w:ascii="宋体" w:hAnsi="宋体"/>
          <w:sz w:val="24"/>
        </w:rPr>
        <w:t>对地下水的影响：由于本区域内地下承压含水层较深，所以工程建设将不会对地下承压含水层的水流、水量及水质等方面产生影响。</w:t>
      </w:r>
    </w:p>
    <w:p>
      <w:pPr>
        <w:tabs>
          <w:tab w:val="left" w:pos="1200"/>
        </w:tabs>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GB3</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②</w:t>
      </w:r>
      <w:r>
        <w:rPr>
          <w:rFonts w:ascii="宋体" w:hAnsi="宋体"/>
          <w:sz w:val="24"/>
        </w:rPr>
        <w:fldChar w:fldCharType="end"/>
      </w:r>
      <w:r>
        <w:rPr>
          <w:rFonts w:hint="eastAsia" w:ascii="宋体" w:hAnsi="宋体"/>
          <w:sz w:val="24"/>
        </w:rPr>
        <w:t>运营期环境影响</w:t>
      </w:r>
    </w:p>
    <w:p>
      <w:pPr>
        <w:tabs>
          <w:tab w:val="left" w:pos="1200"/>
        </w:tabs>
        <w:ind w:firstLine="480" w:firstLineChars="200"/>
        <w:rPr>
          <w:rFonts w:ascii="宋体" w:hAnsi="宋体"/>
          <w:sz w:val="24"/>
        </w:rPr>
      </w:pPr>
      <w:r>
        <w:rPr>
          <w:rFonts w:hint="eastAsia" w:ascii="宋体" w:hAnsi="宋体"/>
          <w:sz w:val="24"/>
        </w:rPr>
        <w:t>给水厂及取水泵房</w:t>
      </w:r>
      <w:r>
        <w:rPr>
          <w:rFonts w:ascii="宋体" w:hAnsi="宋体"/>
          <w:sz w:val="24"/>
        </w:rPr>
        <w:t>的噪声来源于厂内传动机械工作时发出的噪声，有水泵、污泥泵</w:t>
      </w:r>
      <w:r>
        <w:rPr>
          <w:rFonts w:hint="eastAsia" w:ascii="宋体" w:hAnsi="宋体"/>
          <w:sz w:val="24"/>
        </w:rPr>
        <w:t>、及脱水机械</w:t>
      </w:r>
      <w:r>
        <w:rPr>
          <w:rFonts w:ascii="宋体" w:hAnsi="宋体"/>
          <w:sz w:val="24"/>
        </w:rPr>
        <w:t>的噪声还有厂区内外来车辆等的噪声。根据调查，</w:t>
      </w:r>
      <w:r>
        <w:rPr>
          <w:rFonts w:hint="eastAsia" w:ascii="宋体" w:hAnsi="宋体"/>
          <w:sz w:val="24"/>
        </w:rPr>
        <w:t>水厂</w:t>
      </w:r>
      <w:r>
        <w:rPr>
          <w:rFonts w:ascii="宋体" w:hAnsi="宋体"/>
          <w:sz w:val="24"/>
        </w:rPr>
        <w:t>使用的机械产生的噪声见表。</w:t>
      </w:r>
    </w:p>
    <w:p>
      <w:pPr>
        <w:tabs>
          <w:tab w:val="left" w:pos="1200"/>
        </w:tabs>
        <w:ind w:firstLine="480" w:firstLineChars="200"/>
        <w:jc w:val="center"/>
        <w:rPr>
          <w:rFonts w:ascii="宋体" w:hAnsi="宋体"/>
          <w:sz w:val="24"/>
        </w:rPr>
      </w:pPr>
      <w:r>
        <w:rPr>
          <w:rFonts w:ascii="宋体" w:hAnsi="宋体"/>
          <w:sz w:val="24"/>
        </w:rPr>
        <w:t>机械产生噪声表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4"/>
        <w:gridCol w:w="4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4" w:type="dxa"/>
            <w:shd w:val="clear" w:color="auto" w:fill="CCFFFF"/>
            <w:noWrap w:val="0"/>
            <w:vAlign w:val="center"/>
          </w:tcPr>
          <w:p>
            <w:pPr>
              <w:rPr>
                <w:sz w:val="24"/>
              </w:rPr>
            </w:pPr>
            <w:r>
              <w:rPr>
                <w:sz w:val="24"/>
              </w:rPr>
              <w:t>名    称</w:t>
            </w:r>
          </w:p>
        </w:tc>
        <w:tc>
          <w:tcPr>
            <w:tcW w:w="4289" w:type="dxa"/>
            <w:shd w:val="clear" w:color="auto" w:fill="CCFFFF"/>
            <w:noWrap w:val="0"/>
            <w:vAlign w:val="center"/>
          </w:tcPr>
          <w:p>
            <w:pPr>
              <w:rPr>
                <w:sz w:val="24"/>
              </w:rPr>
            </w:pPr>
            <w:r>
              <w:rPr>
                <w:sz w:val="24"/>
              </w:rPr>
              <w:t>噪声（dBA）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4" w:type="dxa"/>
            <w:noWrap w:val="0"/>
            <w:vAlign w:val="center"/>
          </w:tcPr>
          <w:p>
            <w:pPr>
              <w:rPr>
                <w:sz w:val="24"/>
              </w:rPr>
            </w:pPr>
            <w:r>
              <w:rPr>
                <w:sz w:val="24"/>
              </w:rPr>
              <w:t>污水泵</w:t>
            </w:r>
          </w:p>
        </w:tc>
        <w:tc>
          <w:tcPr>
            <w:tcW w:w="4289" w:type="dxa"/>
            <w:noWrap w:val="0"/>
            <w:vAlign w:val="center"/>
          </w:tcPr>
          <w:p>
            <w:pPr>
              <w:rPr>
                <w:sz w:val="24"/>
              </w:rPr>
            </w:pPr>
            <w:r>
              <w:rPr>
                <w:sz w:val="24"/>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4" w:type="dxa"/>
            <w:noWrap w:val="0"/>
            <w:vAlign w:val="center"/>
          </w:tcPr>
          <w:p>
            <w:pPr>
              <w:rPr>
                <w:sz w:val="24"/>
              </w:rPr>
            </w:pPr>
            <w:r>
              <w:rPr>
                <w:sz w:val="24"/>
              </w:rPr>
              <w:t>污泥泵</w:t>
            </w:r>
          </w:p>
        </w:tc>
        <w:tc>
          <w:tcPr>
            <w:tcW w:w="4289" w:type="dxa"/>
            <w:noWrap w:val="0"/>
            <w:vAlign w:val="center"/>
          </w:tcPr>
          <w:p>
            <w:pPr>
              <w:rPr>
                <w:sz w:val="24"/>
              </w:rPr>
            </w:pPr>
            <w:r>
              <w:rPr>
                <w:sz w:val="24"/>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4" w:type="dxa"/>
            <w:noWrap w:val="0"/>
            <w:vAlign w:val="center"/>
          </w:tcPr>
          <w:p>
            <w:pPr>
              <w:rPr>
                <w:sz w:val="24"/>
              </w:rPr>
            </w:pPr>
            <w:r>
              <w:rPr>
                <w:sz w:val="24"/>
              </w:rPr>
              <w:t>脱水机</w:t>
            </w:r>
          </w:p>
        </w:tc>
        <w:tc>
          <w:tcPr>
            <w:tcW w:w="4289" w:type="dxa"/>
            <w:noWrap w:val="0"/>
            <w:vAlign w:val="center"/>
          </w:tcPr>
          <w:p>
            <w:pPr>
              <w:rPr>
                <w:sz w:val="24"/>
              </w:rPr>
            </w:pPr>
            <w:r>
              <w:rPr>
                <w:sz w:val="24"/>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4" w:type="dxa"/>
            <w:noWrap w:val="0"/>
            <w:vAlign w:val="center"/>
          </w:tcPr>
          <w:p>
            <w:pPr>
              <w:rPr>
                <w:sz w:val="24"/>
              </w:rPr>
            </w:pPr>
            <w:r>
              <w:rPr>
                <w:sz w:val="24"/>
              </w:rPr>
              <w:t>汽  车</w:t>
            </w:r>
          </w:p>
        </w:tc>
        <w:tc>
          <w:tcPr>
            <w:tcW w:w="4289" w:type="dxa"/>
            <w:noWrap w:val="0"/>
            <w:vAlign w:val="center"/>
          </w:tcPr>
          <w:p>
            <w:pPr>
              <w:rPr>
                <w:sz w:val="24"/>
              </w:rPr>
            </w:pPr>
            <w:r>
              <w:rPr>
                <w:sz w:val="24"/>
              </w:rPr>
              <w:t>75~90</w:t>
            </w:r>
          </w:p>
        </w:tc>
      </w:tr>
    </w:tbl>
    <w:p>
      <w:pPr>
        <w:tabs>
          <w:tab w:val="left" w:pos="1200"/>
        </w:tabs>
        <w:ind w:firstLine="480" w:firstLineChars="200"/>
        <w:rPr>
          <w:rFonts w:ascii="宋体" w:hAnsi="宋体"/>
          <w:sz w:val="24"/>
        </w:rPr>
      </w:pPr>
      <w:r>
        <w:rPr>
          <w:rFonts w:hint="eastAsia" w:ascii="宋体" w:hAnsi="宋体"/>
          <w:sz w:val="24"/>
        </w:rPr>
        <w:t>净水厂</w:t>
      </w:r>
      <w:r>
        <w:rPr>
          <w:rFonts w:ascii="宋体" w:hAnsi="宋体"/>
          <w:sz w:val="24"/>
        </w:rPr>
        <w:t>内噪声较大的设备，如水泵、脱水机均设在室内，经墙壁隔声以后传播到外环境时已衰减很多，污水泵采用潜水方式，据调查资料表明，距泵房30m时测得的噪声值已达到国家的《城市区域环境噪声标准》（GB3096-93）的标准值。</w:t>
      </w:r>
    </w:p>
    <w:p>
      <w:pPr>
        <w:tabs>
          <w:tab w:val="left" w:pos="1200"/>
        </w:tabs>
        <w:ind w:firstLine="480" w:firstLineChars="200"/>
        <w:rPr>
          <w:rFonts w:hint="eastAsia" w:ascii="宋体" w:hAnsi="宋体"/>
          <w:sz w:val="24"/>
        </w:rPr>
      </w:pPr>
      <w:r>
        <w:rPr>
          <w:rFonts w:hint="eastAsia" w:ascii="宋体" w:hAnsi="宋体"/>
          <w:sz w:val="24"/>
        </w:rPr>
        <w:t>此外净水厂会产生一定数量的污泥，经场内脱水至80％后，送至周边污泥处置中心集中处置，避免对外环境产生二次污染。</w:t>
      </w:r>
    </w:p>
    <w:p>
      <w:pPr>
        <w:pStyle w:val="5"/>
        <w:rPr>
          <w:rFonts w:hint="eastAsia"/>
          <w:bCs/>
          <w:sz w:val="24"/>
          <w:szCs w:val="24"/>
        </w:rPr>
      </w:pPr>
      <w:bookmarkStart w:id="166" w:name="_Toc343699226"/>
      <w:bookmarkStart w:id="167" w:name="_Toc32552"/>
      <w:bookmarkStart w:id="168" w:name="_Toc366569890"/>
      <w:bookmarkStart w:id="169" w:name="_Toc444507535"/>
      <w:r>
        <w:rPr>
          <w:rFonts w:hint="eastAsia"/>
          <w:bCs/>
          <w:sz w:val="24"/>
          <w:szCs w:val="24"/>
        </w:rPr>
        <w:t>环境保护措施</w:t>
      </w:r>
      <w:bookmarkEnd w:id="166"/>
      <w:bookmarkEnd w:id="167"/>
      <w:bookmarkEnd w:id="168"/>
      <w:bookmarkEnd w:id="169"/>
    </w:p>
    <w:p>
      <w:pPr>
        <w:pStyle w:val="6"/>
        <w:ind w:left="1418"/>
        <w:rPr>
          <w:rFonts w:hint="eastAsia"/>
        </w:rPr>
      </w:pPr>
      <w:r>
        <w:rPr>
          <w:rFonts w:hint="eastAsia"/>
        </w:rPr>
        <w:t>施工期环境保护措施</w:t>
      </w:r>
    </w:p>
    <w:p>
      <w:pPr>
        <w:tabs>
          <w:tab w:val="left" w:pos="1200"/>
        </w:tabs>
        <w:ind w:firstLine="480" w:firstLineChars="200"/>
        <w:rPr>
          <w:rFonts w:ascii="宋体" w:hAnsi="宋体"/>
          <w:sz w:val="24"/>
        </w:rPr>
      </w:pPr>
      <w:r>
        <w:rPr>
          <w:rFonts w:ascii="宋体" w:hAnsi="宋体"/>
          <w:sz w:val="24"/>
        </w:rPr>
        <w:t>为减少对环境影响的应采取以下措施：</w:t>
      </w:r>
    </w:p>
    <w:p>
      <w:pPr>
        <w:tabs>
          <w:tab w:val="left" w:pos="1200"/>
        </w:tabs>
        <w:ind w:firstLine="480" w:firstLineChars="200"/>
        <w:rPr>
          <w:rFonts w:ascii="宋体" w:hAnsi="宋体"/>
          <w:sz w:val="24"/>
        </w:rPr>
      </w:pPr>
      <w:r>
        <w:rPr>
          <w:rFonts w:ascii="宋体" w:hAnsi="宋体"/>
          <w:sz w:val="24"/>
        </w:rPr>
        <w:t>1、减少扬尘：工程施工中沟渠挖出的泥土堆放在路旁，旱季风致使扬尘和机械扬尘导致沿线尘土飞扬，影响附近居民和工厂。为了减少工程扬尘对周围环境的影响建议施工中遇到的连续晴好天气又起风的情况下，对弃土表面洒上一些水，防止扬尘。弃土应按计划及时运出，在装运的过程中不要超载，做到沿途不洒落。车辆驶出工地前应将轮子上的泥土去掉，防止泥土带出工地，影响环境整洁，同时施工者应对工地门前的道路实行保洁制度，一旦有弃土、建材洒落应及时清扫。</w:t>
      </w:r>
    </w:p>
    <w:p>
      <w:pPr>
        <w:tabs>
          <w:tab w:val="left" w:pos="1200"/>
        </w:tabs>
        <w:ind w:firstLine="480" w:firstLineChars="200"/>
        <w:rPr>
          <w:rFonts w:ascii="宋体" w:hAnsi="宋体"/>
          <w:sz w:val="24"/>
        </w:rPr>
      </w:pPr>
      <w:r>
        <w:rPr>
          <w:rFonts w:ascii="宋体" w:hAnsi="宋体"/>
          <w:sz w:val="24"/>
        </w:rPr>
        <w:t>2、施工噪声的控制：工程施工开挖沟渠、运输车辆喇叭声、发动机声、混凝土搅拌声以及敷土压路机声等造成施工的噪声。为了减少施工对周围居民的影响，工程在距民宅200m的区域内不允许在晚上十一时至次日早上六时内施工，同时应在施工设备和方法中加以考虑，尽量采用低噪声机械。对夜间一定要施工，但又要影响居民声环境的工地，应对施工机械采取降噪措施，同时也可在工地周围或居民集中地周围设立临时的声障装置，以保证居民区的声环境质量。</w:t>
      </w:r>
    </w:p>
    <w:p>
      <w:pPr>
        <w:tabs>
          <w:tab w:val="left" w:pos="1200"/>
        </w:tabs>
        <w:ind w:firstLine="480" w:firstLineChars="200"/>
        <w:rPr>
          <w:rFonts w:ascii="宋体" w:hAnsi="宋体"/>
          <w:sz w:val="24"/>
        </w:rPr>
      </w:pPr>
      <w:r>
        <w:rPr>
          <w:rFonts w:ascii="宋体" w:hAnsi="宋体"/>
          <w:sz w:val="24"/>
        </w:rPr>
        <w:t>3、施工现场废弃物处理：工程建设需要数百个工人。项目开发者及工程承包单位应与当地环卫部门联系，及时清理施工现场的生活废弃物，工程承包单位应对施工人员加强教育，不随意乱丢废弃物，保证工人工作、生活、环境卫生质量。</w:t>
      </w:r>
    </w:p>
    <w:p>
      <w:pPr>
        <w:tabs>
          <w:tab w:val="left" w:pos="1200"/>
        </w:tabs>
        <w:ind w:firstLine="480" w:firstLineChars="200"/>
        <w:rPr>
          <w:rFonts w:ascii="宋体" w:hAnsi="宋体"/>
          <w:sz w:val="24"/>
        </w:rPr>
      </w:pPr>
      <w:r>
        <w:rPr>
          <w:rFonts w:ascii="宋体" w:hAnsi="宋体"/>
          <w:sz w:val="24"/>
        </w:rPr>
        <w:t>4、倡导文明施工：要求施工单位尽可能减少在施工过程中对周围居民、工厂、学校的影响，提倡文明施工，组织施工单位、街道及业主联络会议，及时协调解决施工中对环境影响的问题。</w:t>
      </w:r>
    </w:p>
    <w:p>
      <w:pPr>
        <w:tabs>
          <w:tab w:val="left" w:pos="1200"/>
        </w:tabs>
        <w:ind w:firstLine="480" w:firstLineChars="200"/>
        <w:rPr>
          <w:rFonts w:ascii="宋体" w:hAnsi="宋体"/>
          <w:sz w:val="24"/>
        </w:rPr>
      </w:pPr>
      <w:r>
        <w:rPr>
          <w:rFonts w:ascii="宋体" w:hAnsi="宋体"/>
          <w:sz w:val="24"/>
        </w:rPr>
        <w:t>5、制定弃土处置和运输计划：工程建设单位将会同市有关部门，为本工程的弃土制定处置计划，尽可能做到土方平衡，弃土的出路主要用于筑路、小区建设等。分散于各个建设工地的弃土运输计划，将与公路有关部门联系。避免在行车高峰时运输弃土和建筑垃圾。项目开发单位应与运输部门共同作好驾驶员的职业道德教育，按规定路线运输，按规定地点处置弃土和建筑垃圾，并不定期地检查执行情况。施工中遇到有毒有害废弃物应暂时停止施工并及时与地方环保、卫生部门联系，经他们采取措施处理后才能继续施工。</w:t>
      </w:r>
    </w:p>
    <w:p>
      <w:pPr>
        <w:tabs>
          <w:tab w:val="left" w:pos="1200"/>
        </w:tabs>
        <w:ind w:firstLine="480" w:firstLineChars="200"/>
        <w:rPr>
          <w:rFonts w:hint="eastAsia" w:ascii="宋体" w:hAnsi="宋体"/>
          <w:sz w:val="24"/>
        </w:rPr>
      </w:pPr>
      <w:r>
        <w:rPr>
          <w:rFonts w:ascii="宋体" w:hAnsi="宋体"/>
          <w:sz w:val="24"/>
        </w:rPr>
        <w:t>6、缓解对人工林影响的措施：首先要严格控制挖掘树木和草地，对被工程建设破坏的人工林待工程完工后，应在道路两侧裸露土地上种植树木和草皮，这样不但可以恢复工程前植被面积，更可以超过以前的绿化面积，使该地区的绿化面积增加。</w:t>
      </w:r>
    </w:p>
    <w:p>
      <w:pPr>
        <w:pStyle w:val="6"/>
        <w:ind w:left="1418"/>
        <w:rPr>
          <w:rFonts w:hint="eastAsia"/>
        </w:rPr>
      </w:pPr>
      <w:r>
        <w:rPr>
          <w:rFonts w:hint="eastAsia"/>
        </w:rPr>
        <w:t>运营期环境保护措施</w:t>
      </w:r>
    </w:p>
    <w:p>
      <w:pPr>
        <w:tabs>
          <w:tab w:val="left" w:pos="1200"/>
        </w:tabs>
        <w:ind w:firstLine="480" w:firstLineChars="200"/>
        <w:rPr>
          <w:rFonts w:hint="eastAsia" w:ascii="宋体" w:hAnsi="宋体"/>
          <w:sz w:val="24"/>
        </w:rPr>
      </w:pPr>
      <w:r>
        <w:rPr>
          <w:rFonts w:ascii="宋体" w:hAnsi="宋体"/>
          <w:sz w:val="24"/>
        </w:rPr>
        <w:t>1、取水水源</w:t>
      </w:r>
    </w:p>
    <w:p>
      <w:pPr>
        <w:tabs>
          <w:tab w:val="left" w:pos="1200"/>
        </w:tabs>
        <w:ind w:firstLine="480" w:firstLineChars="200"/>
        <w:rPr>
          <w:rFonts w:ascii="宋体" w:hAnsi="宋体"/>
          <w:sz w:val="24"/>
        </w:rPr>
      </w:pPr>
      <w:r>
        <w:rPr>
          <w:rFonts w:ascii="宋体" w:hAnsi="宋体"/>
          <w:sz w:val="24"/>
        </w:rPr>
        <w:t xml:space="preserve">取水水源在运行中对周围环境的影响主要是噪音的污染。因为本工程水源的水泵采用高效低噪音水泵，值班室和送水泵房之产的观察窗和通行门均设置双层门窗，故噪音对周围环境及管理人员不会造成太大的影响。 </w:t>
      </w:r>
    </w:p>
    <w:p>
      <w:pPr>
        <w:tabs>
          <w:tab w:val="left" w:pos="1200"/>
        </w:tabs>
        <w:ind w:firstLine="480" w:firstLineChars="200"/>
        <w:rPr>
          <w:rFonts w:hint="eastAsia" w:ascii="宋体" w:hAnsi="宋体"/>
          <w:sz w:val="24"/>
        </w:rPr>
      </w:pPr>
      <w:r>
        <w:rPr>
          <w:rFonts w:ascii="宋体" w:hAnsi="宋体"/>
          <w:sz w:val="24"/>
        </w:rPr>
        <w:t>2、输</w:t>
      </w:r>
      <w:r>
        <w:rPr>
          <w:rFonts w:hint="eastAsia" w:ascii="宋体" w:hAnsi="宋体"/>
          <w:sz w:val="24"/>
        </w:rPr>
        <w:t>配</w:t>
      </w:r>
      <w:r>
        <w:rPr>
          <w:rFonts w:ascii="宋体" w:hAnsi="宋体"/>
          <w:sz w:val="24"/>
        </w:rPr>
        <w:t>水管道</w:t>
      </w:r>
    </w:p>
    <w:p>
      <w:pPr>
        <w:tabs>
          <w:tab w:val="left" w:pos="1200"/>
        </w:tabs>
        <w:ind w:firstLine="480" w:firstLineChars="200"/>
        <w:rPr>
          <w:rFonts w:ascii="宋体" w:hAnsi="宋体"/>
          <w:sz w:val="24"/>
        </w:rPr>
      </w:pPr>
      <w:r>
        <w:rPr>
          <w:rFonts w:ascii="宋体" w:hAnsi="宋体"/>
          <w:sz w:val="24"/>
        </w:rPr>
        <w:t xml:space="preserve">根据输水管道走向，沿途大部分为现状公路两侧及耕地等，同时沿农田敷设的管道在施工后进行还耕，且采用管道输水，几乎无渗漏。 但是在特殊条件下也会对周围环境产生一些不利影响。因输水管道为有压供水，当管道出事故时，可能局部跑水，特别是公路、重要交叉部位、重要设施所在地，应要严格注意，防止出现事故，一旦出现事故要及时抢修。 </w:t>
      </w:r>
    </w:p>
    <w:p>
      <w:pPr>
        <w:tabs>
          <w:tab w:val="left" w:pos="1200"/>
        </w:tabs>
        <w:ind w:firstLine="480" w:firstLineChars="200"/>
        <w:rPr>
          <w:rFonts w:ascii="宋体" w:hAnsi="宋体"/>
          <w:sz w:val="24"/>
        </w:rPr>
      </w:pPr>
      <w:r>
        <w:rPr>
          <w:rFonts w:ascii="宋体" w:hAnsi="宋体"/>
          <w:sz w:val="24"/>
        </w:rPr>
        <w:t xml:space="preserve">3、配水厂 </w:t>
      </w:r>
    </w:p>
    <w:p>
      <w:pPr>
        <w:tabs>
          <w:tab w:val="left" w:pos="1200"/>
        </w:tabs>
        <w:ind w:firstLine="480" w:firstLineChars="200"/>
        <w:rPr>
          <w:rFonts w:ascii="宋体" w:hAnsi="宋体"/>
          <w:sz w:val="24"/>
        </w:rPr>
      </w:pPr>
      <w:r>
        <w:rPr>
          <w:rFonts w:ascii="宋体" w:hAnsi="宋体"/>
          <w:sz w:val="24"/>
        </w:rPr>
        <w:t>水厂噪音产生的来源主要是送水泵房内的水泵电机所产生的噪音。为解决噪音对周围环境所造成的危害，在设计中拟采取下述防护措施：</w:t>
      </w:r>
    </w:p>
    <w:p>
      <w:pPr>
        <w:tabs>
          <w:tab w:val="left" w:pos="1200"/>
        </w:tabs>
        <w:ind w:firstLine="480" w:firstLineChars="200"/>
        <w:rPr>
          <w:rFonts w:ascii="宋体" w:hAnsi="宋体"/>
          <w:sz w:val="24"/>
        </w:rPr>
      </w:pPr>
      <w:r>
        <w:rPr>
          <w:rFonts w:ascii="宋体" w:hAnsi="宋体"/>
          <w:sz w:val="24"/>
        </w:rPr>
        <w:t xml:space="preserve">a.在设备选型时优先选用噪音低、效率高的机电设备。 </w:t>
      </w:r>
    </w:p>
    <w:p>
      <w:pPr>
        <w:tabs>
          <w:tab w:val="left" w:pos="1200"/>
        </w:tabs>
        <w:ind w:firstLine="480" w:firstLineChars="200"/>
        <w:rPr>
          <w:rFonts w:ascii="宋体" w:hAnsi="宋体"/>
          <w:sz w:val="24"/>
        </w:rPr>
      </w:pPr>
      <w:r>
        <w:rPr>
          <w:rFonts w:ascii="宋体" w:hAnsi="宋体"/>
          <w:sz w:val="24"/>
        </w:rPr>
        <w:t xml:space="preserve">b.为保证操作中人员的健康，设计中应对值班室采用隔音作法，值班室和送水泵房之产的观察窗和通行门均设置双层门窗，并在室内进行消声处理。 </w:t>
      </w:r>
    </w:p>
    <w:p>
      <w:pPr>
        <w:tabs>
          <w:tab w:val="left" w:pos="1200"/>
        </w:tabs>
        <w:ind w:firstLine="480" w:firstLineChars="200"/>
        <w:rPr>
          <w:rFonts w:hint="eastAsia" w:ascii="宋体" w:hAnsi="宋体"/>
          <w:sz w:val="24"/>
        </w:rPr>
      </w:pPr>
      <w:r>
        <w:rPr>
          <w:rFonts w:ascii="宋体" w:hAnsi="宋体"/>
          <w:sz w:val="24"/>
        </w:rPr>
        <w:t>c.在泵房周围进行绿化以减少噪音对周围环境的影响，同时可以起到美化环境的效果。</w:t>
      </w:r>
    </w:p>
    <w:p>
      <w:pPr>
        <w:pStyle w:val="5"/>
        <w:rPr>
          <w:sz w:val="24"/>
          <w:szCs w:val="24"/>
        </w:rPr>
      </w:pPr>
      <w:bookmarkStart w:id="170" w:name="_Toc343699227"/>
      <w:r>
        <w:rPr>
          <w:rFonts w:hint="eastAsia"/>
          <w:sz w:val="24"/>
          <w:szCs w:val="24"/>
        </w:rPr>
        <w:t xml:space="preserve"> </w:t>
      </w:r>
      <w:bookmarkStart w:id="171" w:name="_Toc19841"/>
      <w:bookmarkStart w:id="172" w:name="_Toc366569891"/>
      <w:bookmarkStart w:id="173" w:name="_Toc444507536"/>
      <w:r>
        <w:rPr>
          <w:bCs/>
          <w:sz w:val="24"/>
          <w:szCs w:val="24"/>
        </w:rPr>
        <w:t>初步</w:t>
      </w:r>
      <w:r>
        <w:rPr>
          <w:sz w:val="24"/>
          <w:szCs w:val="24"/>
        </w:rPr>
        <w:t>环境影响评价结论</w:t>
      </w:r>
      <w:bookmarkEnd w:id="170"/>
      <w:bookmarkEnd w:id="171"/>
      <w:bookmarkEnd w:id="172"/>
      <w:bookmarkEnd w:id="173"/>
    </w:p>
    <w:p>
      <w:pPr>
        <w:tabs>
          <w:tab w:val="left" w:pos="1200"/>
        </w:tabs>
        <w:ind w:firstLine="480" w:firstLineChars="200"/>
        <w:rPr>
          <w:rFonts w:hint="eastAsia" w:ascii="宋体" w:hAnsi="宋体"/>
          <w:sz w:val="24"/>
        </w:rPr>
      </w:pPr>
      <w:r>
        <w:rPr>
          <w:rFonts w:hint="eastAsia" w:ascii="宋体" w:hAnsi="宋体"/>
          <w:sz w:val="24"/>
        </w:rPr>
        <w:t>工程施工过程中，可能使小部分植被遭到临时性的破坏，部分乡村道路被暂时占用，个别时段形成区域性浮尘、噪音等。但总体来讲，由于工程面广，战线长，局部工程规模小，施工强度不大，施工期限短，同时，除净水厂工程外，其他大部分工程全部建在地下。因此，只要提高认识，加强管理，施工期间是不会对环境造成大的不良影响的。即使形成局部的负面影响，也会随着工程施工的结束逐步得到恢复。</w:t>
      </w:r>
    </w:p>
    <w:p>
      <w:pPr>
        <w:tabs>
          <w:tab w:val="left" w:pos="1200"/>
        </w:tabs>
        <w:ind w:firstLine="480" w:firstLineChars="200"/>
        <w:rPr>
          <w:rFonts w:hint="eastAsia" w:ascii="宋体" w:hAnsi="宋体"/>
          <w:sz w:val="24"/>
        </w:rPr>
      </w:pPr>
      <w:r>
        <w:rPr>
          <w:rFonts w:hint="eastAsia" w:ascii="宋体" w:hAnsi="宋体"/>
          <w:sz w:val="24"/>
        </w:rPr>
        <w:t>工程建成后也不会对县内的自然保护区、风景名胜区造成破坏。</w:t>
      </w:r>
    </w:p>
    <w:p>
      <w:pPr>
        <w:adjustRightInd/>
        <w:snapToGrid/>
        <w:ind w:firstLine="560"/>
        <w:rPr>
          <w:rFonts w:ascii="Times New Roman" w:hAnsi="Times New Roman" w:eastAsia="仿宋"/>
          <w:sz w:val="28"/>
          <w:szCs w:val="28"/>
        </w:rPr>
      </w:pPr>
      <w:r>
        <w:rPr>
          <w:rFonts w:hint="eastAsia" w:ascii="宋体" w:hAnsi="宋体"/>
          <w:sz w:val="24"/>
        </w:rPr>
        <w:t>因此，本工程的建设不存在环境制约性因素，从环保角度考虑本工程是可行的。</w:t>
      </w: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bookmarkStart w:id="174" w:name="_Toc21486"/>
      <w:bookmarkStart w:id="175" w:name="_Toc1816"/>
      <w:bookmarkStart w:id="176" w:name="_Toc26036"/>
      <w:bookmarkStart w:id="177" w:name="_Toc21905"/>
      <w:r>
        <w:rPr>
          <w:rFonts w:ascii="Times New Roman" w:hAnsi="Times New Roman" w:eastAsia="仿宋"/>
          <w:kern w:val="2"/>
          <w:sz w:val="28"/>
          <w:szCs w:val="28"/>
        </w:rPr>
        <w:br w:type="page"/>
      </w:r>
      <w:r>
        <w:rPr>
          <w:rFonts w:hint="eastAsia" w:ascii="Times New Roman" w:hAnsi="Times New Roman" w:eastAsia="仿宋"/>
          <w:kern w:val="2"/>
          <w:sz w:val="28"/>
          <w:szCs w:val="28"/>
          <w:lang w:val="en-US" w:eastAsia="zh-CN"/>
        </w:rPr>
        <w:t xml:space="preserve"> </w:t>
      </w:r>
      <w:bookmarkStart w:id="178" w:name="_Toc293"/>
      <w:r>
        <w:rPr>
          <w:b/>
          <w:bCs/>
        </w:rPr>
        <w:t>分期实施意见</w:t>
      </w:r>
      <w:bookmarkEnd w:id="174"/>
      <w:bookmarkEnd w:id="175"/>
      <w:bookmarkEnd w:id="178"/>
    </w:p>
    <w:p>
      <w:pPr>
        <w:pStyle w:val="5"/>
        <w:rPr>
          <w:rFonts w:hint="eastAsia"/>
        </w:rPr>
      </w:pPr>
      <w:bookmarkStart w:id="179" w:name="_Toc355091869"/>
      <w:bookmarkStart w:id="180" w:name="_Toc335282478"/>
      <w:r>
        <w:rPr>
          <w:rFonts w:hint="eastAsia"/>
        </w:rPr>
        <w:t xml:space="preserve">  </w:t>
      </w:r>
      <w:bookmarkStart w:id="181" w:name="_Toc1568"/>
      <w:r>
        <w:rPr>
          <w:rFonts w:hint="eastAsia"/>
        </w:rPr>
        <w:t>实施安排原则</w:t>
      </w:r>
      <w:bookmarkEnd w:id="179"/>
      <w:bookmarkEnd w:id="180"/>
      <w:bookmarkEnd w:id="181"/>
    </w:p>
    <w:p>
      <w:pPr>
        <w:pStyle w:val="69"/>
        <w:adjustRightInd/>
        <w:snapToGrid/>
        <w:rPr>
          <w:rFonts w:hint="eastAsia" w:ascii="宋体" w:hAnsi="宋体" w:eastAsia="宋体" w:cs="宋体"/>
          <w:color w:val="auto"/>
          <w:sz w:val="24"/>
          <w:szCs w:val="24"/>
        </w:rPr>
      </w:pPr>
      <w:r>
        <w:rPr>
          <w:rFonts w:hint="eastAsia" w:ascii="宋体" w:hAnsi="宋体" w:eastAsia="宋体" w:cs="宋体"/>
          <w:color w:val="auto"/>
          <w:sz w:val="24"/>
          <w:szCs w:val="24"/>
        </w:rPr>
        <w:t>针对“十四五”规划项目，考虑资金筹措能力，按照工程规模、轻重缓急和投资可能，合理制定分期（分年）实施计划。项目的实施安排原则：</w:t>
      </w:r>
    </w:p>
    <w:p>
      <w:pPr>
        <w:pStyle w:val="69"/>
        <w:adjustRightInd/>
        <w:snapToGrid/>
        <w:rPr>
          <w:rFonts w:hint="eastAsia" w:ascii="宋体" w:hAnsi="宋体" w:eastAsia="宋体" w:cs="宋体"/>
          <w:color w:val="auto"/>
          <w:sz w:val="24"/>
          <w:szCs w:val="24"/>
        </w:rPr>
      </w:pPr>
      <w:r>
        <w:rPr>
          <w:rFonts w:hint="eastAsia" w:ascii="宋体" w:hAnsi="宋体" w:eastAsia="宋体" w:cs="宋体"/>
          <w:color w:val="auto"/>
          <w:sz w:val="24"/>
          <w:szCs w:val="24"/>
        </w:rPr>
        <w:t>1、项目安排应与</w:t>
      </w:r>
      <w:r>
        <w:rPr>
          <w:rFonts w:hint="eastAsia" w:ascii="宋体" w:hAnsi="宋体" w:eastAsia="宋体" w:cs="宋体"/>
          <w:bCs w:val="0"/>
          <w:color w:val="auto"/>
          <w:sz w:val="24"/>
          <w:szCs w:val="24"/>
        </w:rPr>
        <w:t>乡村振兴等</w:t>
      </w:r>
      <w:r>
        <w:rPr>
          <w:rFonts w:hint="eastAsia" w:ascii="宋体" w:hAnsi="宋体" w:eastAsia="宋体" w:cs="宋体"/>
          <w:color w:val="auto"/>
          <w:sz w:val="24"/>
          <w:szCs w:val="24"/>
        </w:rPr>
        <w:t>区域总体计划和发展战略相协调，分期分批有计划有步骤地实施。</w:t>
      </w:r>
    </w:p>
    <w:p>
      <w:pPr>
        <w:pStyle w:val="69"/>
        <w:adjustRightInd/>
        <w:snapToGrid/>
        <w:rPr>
          <w:rFonts w:hint="eastAsia" w:ascii="宋体" w:hAnsi="宋体" w:eastAsia="宋体" w:cs="宋体"/>
          <w:color w:val="auto"/>
          <w:sz w:val="24"/>
          <w:szCs w:val="24"/>
        </w:rPr>
      </w:pPr>
      <w:r>
        <w:rPr>
          <w:rFonts w:hint="eastAsia" w:ascii="宋体" w:hAnsi="宋体" w:eastAsia="宋体" w:cs="宋体"/>
          <w:color w:val="auto"/>
          <w:sz w:val="24"/>
          <w:szCs w:val="24"/>
        </w:rPr>
        <w:t>2、项目安排要体现效率优先的原则，注重工程项目建设的覆盖范围和综合效益，优先安排社会经济效益好、投资省、见效快、当地积极性高的项目。</w:t>
      </w:r>
    </w:p>
    <w:p>
      <w:pPr>
        <w:pStyle w:val="69"/>
        <w:adjustRightInd/>
        <w:snapToGrid/>
        <w:rPr>
          <w:rFonts w:hint="eastAsia" w:ascii="宋体" w:hAnsi="宋体" w:eastAsia="宋体" w:cs="宋体"/>
          <w:color w:val="auto"/>
          <w:sz w:val="24"/>
          <w:szCs w:val="24"/>
        </w:rPr>
      </w:pPr>
      <w:r>
        <w:rPr>
          <w:rFonts w:hint="eastAsia" w:ascii="宋体" w:hAnsi="宋体" w:eastAsia="宋体" w:cs="宋体"/>
          <w:color w:val="auto"/>
          <w:sz w:val="24"/>
          <w:szCs w:val="24"/>
        </w:rPr>
        <w:t>3、项目的实施安排要从各地实际情况出发，区别轻重缓急，因地制宜、突出重点，逐步实施。优先安排城乡供水一体化和规模化工程，注重千人以上工程的改造和配套设施建设，尤以工程建设标准低、</w:t>
      </w:r>
      <w:r>
        <w:rPr>
          <w:rFonts w:hint="eastAsia" w:ascii="宋体" w:hAnsi="宋体" w:eastAsia="宋体" w:cs="宋体"/>
          <w:bCs w:val="0"/>
          <w:color w:val="auto"/>
          <w:sz w:val="24"/>
          <w:szCs w:val="24"/>
        </w:rPr>
        <w:t>水质不好较为突出的区域</w:t>
      </w:r>
      <w:r>
        <w:rPr>
          <w:rFonts w:hint="eastAsia" w:ascii="宋体" w:hAnsi="宋体" w:eastAsia="宋体" w:cs="宋体"/>
          <w:color w:val="auto"/>
          <w:sz w:val="24"/>
          <w:szCs w:val="24"/>
        </w:rPr>
        <w:t>。</w:t>
      </w:r>
    </w:p>
    <w:p>
      <w:pPr>
        <w:adjustRightInd/>
        <w:snapToGrid/>
        <w:ind w:firstLine="560"/>
        <w:rPr>
          <w:rFonts w:hint="eastAsia" w:ascii="宋体" w:hAnsi="宋体" w:eastAsia="宋体" w:cs="宋体"/>
          <w:color w:val="auto"/>
          <w:sz w:val="24"/>
          <w:szCs w:val="24"/>
        </w:rPr>
      </w:pPr>
      <w:r>
        <w:rPr>
          <w:rFonts w:hint="eastAsia" w:ascii="宋体" w:hAnsi="宋体" w:eastAsia="宋体" w:cs="宋体"/>
          <w:color w:val="auto"/>
          <w:sz w:val="24"/>
          <w:szCs w:val="24"/>
        </w:rPr>
        <w:t>根据上述项目分期实施安排的原则，提出</w:t>
      </w:r>
      <w:r>
        <w:rPr>
          <w:rFonts w:hint="eastAsia" w:ascii="宋体" w:hAnsi="宋体" w:eastAsia="宋体" w:cs="宋体"/>
          <w:color w:val="auto"/>
          <w:sz w:val="24"/>
          <w:szCs w:val="24"/>
          <w:lang w:val="en-US" w:eastAsia="zh-CN"/>
        </w:rPr>
        <w:t>德安县</w:t>
      </w:r>
      <w:r>
        <w:rPr>
          <w:rFonts w:hint="eastAsia" w:ascii="宋体" w:hAnsi="宋体" w:eastAsia="宋体" w:cs="宋体"/>
          <w:color w:val="auto"/>
          <w:sz w:val="24"/>
          <w:szCs w:val="24"/>
        </w:rPr>
        <w:t>工程建设的分期实施意见及分年度投资建设安排。</w:t>
      </w:r>
    </w:p>
    <w:p>
      <w:pPr>
        <w:pStyle w:val="5"/>
        <w:rPr>
          <w:rFonts w:hint="eastAsia"/>
        </w:rPr>
      </w:pPr>
      <w:bookmarkStart w:id="182" w:name="_Toc335282479"/>
      <w:bookmarkStart w:id="183" w:name="_Toc355091870"/>
      <w:r>
        <w:rPr>
          <w:rFonts w:hint="eastAsia"/>
        </w:rPr>
        <w:t xml:space="preserve">  </w:t>
      </w:r>
      <w:bookmarkStart w:id="184" w:name="_Toc25518"/>
      <w:r>
        <w:rPr>
          <w:rFonts w:hint="eastAsia"/>
        </w:rPr>
        <w:t>分期实施意见</w:t>
      </w:r>
      <w:bookmarkEnd w:id="182"/>
      <w:bookmarkEnd w:id="183"/>
      <w:bookmarkEnd w:id="184"/>
    </w:p>
    <w:p>
      <w:pPr>
        <w:ind w:firstLine="480" w:firstLineChars="200"/>
        <w:rPr>
          <w:rFonts w:hint="eastAsia" w:ascii="宋体" w:hAnsi="宋体" w:eastAsia="宋体"/>
          <w:color w:val="auto"/>
          <w:sz w:val="24"/>
          <w:lang w:eastAsia="zh-CN"/>
        </w:rPr>
      </w:pPr>
      <w:r>
        <w:rPr>
          <w:rFonts w:hint="eastAsia" w:ascii="宋体" w:hAnsi="宋体"/>
          <w:color w:val="auto"/>
          <w:sz w:val="24"/>
          <w:lang w:eastAsia="zh-CN"/>
        </w:rPr>
        <w:t>德安城乡一体化工程</w:t>
      </w:r>
      <w:r>
        <w:rPr>
          <w:rFonts w:hint="eastAsia" w:ascii="宋体" w:hAnsi="宋体"/>
          <w:color w:val="auto"/>
          <w:sz w:val="24"/>
        </w:rPr>
        <w:t>分阶段实施</w:t>
      </w:r>
      <w:r>
        <w:rPr>
          <w:rFonts w:hint="eastAsia" w:ascii="宋体" w:hAnsi="宋体"/>
          <w:color w:val="auto"/>
          <w:sz w:val="24"/>
          <w:lang w:eastAsia="zh-CN"/>
        </w:rPr>
        <w:t>。</w:t>
      </w:r>
    </w:p>
    <w:p>
      <w:pPr>
        <w:ind w:firstLine="480" w:firstLineChars="200"/>
        <w:rPr>
          <w:rFonts w:hint="eastAsia" w:ascii="宋体" w:hAnsi="宋体"/>
          <w:color w:val="auto"/>
          <w:sz w:val="24"/>
        </w:rPr>
      </w:pPr>
      <w:r>
        <w:rPr>
          <w:rFonts w:hint="eastAsia" w:ascii="宋体" w:hAnsi="宋体"/>
          <w:color w:val="auto"/>
          <w:sz w:val="24"/>
          <w:lang w:val="en-US" w:eastAsia="zh-CN"/>
        </w:rPr>
        <w:t>2025年以前，</w:t>
      </w:r>
      <w:r>
        <w:rPr>
          <w:rFonts w:hint="eastAsia" w:ascii="宋体" w:hAnsi="宋体"/>
          <w:color w:val="auto"/>
          <w:sz w:val="24"/>
        </w:rPr>
        <w:t>项目总投资</w:t>
      </w:r>
      <w:r>
        <w:rPr>
          <w:rFonts w:hint="eastAsia" w:ascii="宋体" w:hAnsi="宋体"/>
          <w:color w:val="auto"/>
          <w:sz w:val="24"/>
          <w:lang w:val="en-US" w:eastAsia="zh-CN"/>
        </w:rPr>
        <w:t>9871.95</w:t>
      </w:r>
      <w:r>
        <w:rPr>
          <w:rFonts w:hint="eastAsia" w:ascii="宋体" w:hAnsi="宋体"/>
          <w:color w:val="auto"/>
          <w:sz w:val="24"/>
        </w:rPr>
        <w:t>元。</w:t>
      </w:r>
    </w:p>
    <w:p>
      <w:pPr>
        <w:ind w:firstLine="480" w:firstLineChars="200"/>
        <w:rPr>
          <w:rFonts w:hint="eastAsia" w:ascii="宋体" w:hAnsi="宋体" w:eastAsia="宋体"/>
          <w:color w:val="auto"/>
          <w:sz w:val="24"/>
          <w:lang w:eastAsia="zh-CN"/>
        </w:rPr>
      </w:pPr>
      <w:r>
        <w:rPr>
          <w:rFonts w:hint="eastAsia" w:ascii="宋体" w:hAnsi="宋体"/>
          <w:color w:val="auto"/>
          <w:sz w:val="24"/>
          <w:lang w:val="en-US" w:eastAsia="zh-CN"/>
        </w:rPr>
        <w:t>2021年</w:t>
      </w:r>
      <w:r>
        <w:rPr>
          <w:rFonts w:hint="eastAsia" w:ascii="宋体" w:hAnsi="宋体"/>
          <w:color w:val="auto"/>
          <w:sz w:val="24"/>
        </w:rPr>
        <w:t>，主要投资项目：</w:t>
      </w:r>
      <w:r>
        <w:rPr>
          <w:rFonts w:hint="eastAsia" w:ascii="宋体" w:hAnsi="宋体"/>
          <w:color w:val="auto"/>
          <w:sz w:val="24"/>
          <w:lang w:eastAsia="zh-CN"/>
        </w:rPr>
        <w:t>塘山</w:t>
      </w:r>
      <w:r>
        <w:rPr>
          <w:rFonts w:hint="eastAsia" w:ascii="宋体" w:hAnsi="宋体"/>
          <w:color w:val="auto"/>
          <w:sz w:val="24"/>
          <w:lang w:val="en-US" w:eastAsia="zh-CN"/>
        </w:rPr>
        <w:t>片区（塘山水厂）</w:t>
      </w:r>
      <w:r>
        <w:rPr>
          <w:rFonts w:hint="eastAsia" w:ascii="宋体" w:hAnsi="宋体"/>
          <w:color w:val="auto"/>
          <w:sz w:val="24"/>
          <w:lang w:eastAsia="zh-CN"/>
        </w:rPr>
        <w:t>，工程总投资为</w:t>
      </w:r>
      <w:r>
        <w:rPr>
          <w:rFonts w:hint="eastAsia" w:ascii="宋体" w:hAnsi="宋体"/>
          <w:color w:val="auto"/>
          <w:sz w:val="24"/>
          <w:lang w:val="en-US" w:eastAsia="zh-CN"/>
        </w:rPr>
        <w:t>328.36万元</w:t>
      </w:r>
      <w:r>
        <w:rPr>
          <w:rFonts w:hint="eastAsia" w:ascii="宋体" w:hAnsi="宋体"/>
          <w:color w:val="auto"/>
          <w:sz w:val="24"/>
          <w:lang w:eastAsia="zh-CN"/>
        </w:rPr>
        <w:t>。</w:t>
      </w:r>
    </w:p>
    <w:p>
      <w:pPr>
        <w:ind w:firstLine="480" w:firstLineChars="200"/>
        <w:rPr>
          <w:rFonts w:hint="eastAsia" w:ascii="宋体" w:hAnsi="宋体"/>
          <w:color w:val="auto"/>
          <w:sz w:val="24"/>
          <w:lang w:eastAsia="zh-CN"/>
        </w:rPr>
      </w:pPr>
      <w:r>
        <w:rPr>
          <w:rFonts w:hint="eastAsia" w:ascii="宋体" w:hAnsi="宋体"/>
          <w:color w:val="auto"/>
          <w:sz w:val="24"/>
          <w:lang w:val="en-US" w:eastAsia="zh-CN"/>
        </w:rPr>
        <w:t>2021~2025年，主要投资项目：联合片区（彭山水厂扩建及智慧水务平台建设、车桥水厂配套工程、雁家湖水厂配套工程及木环水库备用水源工程、林泉水厂配套工程、磨溪水厂配套工程、红桥水厂配套工程、邹桥水厂扩建及配套工程）</w:t>
      </w:r>
      <w:r>
        <w:rPr>
          <w:rFonts w:hint="eastAsia" w:ascii="宋体" w:hAnsi="宋体"/>
          <w:color w:val="auto"/>
          <w:sz w:val="24"/>
          <w:lang w:eastAsia="zh-CN"/>
        </w:rPr>
        <w:t>，工程总投资为</w:t>
      </w:r>
      <w:r>
        <w:rPr>
          <w:rFonts w:hint="eastAsia" w:ascii="宋体" w:hAnsi="宋体"/>
          <w:color w:val="auto"/>
          <w:sz w:val="24"/>
          <w:lang w:val="en-US" w:eastAsia="zh-CN"/>
        </w:rPr>
        <w:t>9543.59万元</w:t>
      </w:r>
      <w:r>
        <w:rPr>
          <w:rFonts w:hint="eastAsia" w:ascii="宋体" w:hAnsi="宋体"/>
          <w:color w:val="auto"/>
          <w:sz w:val="24"/>
          <w:lang w:eastAsia="zh-CN"/>
        </w:rPr>
        <w:t>。</w:t>
      </w:r>
    </w:p>
    <w:p>
      <w:pPr>
        <w:pStyle w:val="4"/>
        <w:keepNext/>
        <w:keepLines/>
        <w:pageBreakBefore w:val="0"/>
        <w:widowControl w:val="0"/>
        <w:kinsoku/>
        <w:wordWrap/>
        <w:overflowPunct/>
        <w:topLinePunct w:val="0"/>
        <w:autoSpaceDE/>
        <w:autoSpaceDN/>
        <w:bidi w:val="0"/>
        <w:adjustRightInd/>
        <w:snapToGrid/>
        <w:ind w:left="0" w:firstLine="561"/>
        <w:jc w:val="center"/>
        <w:textAlignment w:val="auto"/>
        <w:rPr>
          <w:rFonts w:ascii="Times New Roman" w:hAnsi="Times New Roman" w:eastAsia="仿宋"/>
          <w:kern w:val="2"/>
          <w:sz w:val="28"/>
          <w:szCs w:val="28"/>
        </w:rPr>
      </w:pPr>
      <w:bookmarkStart w:id="185" w:name="_Toc20738"/>
      <w:bookmarkStart w:id="186" w:name="_Toc8479"/>
      <w:r>
        <w:rPr>
          <w:rFonts w:ascii="Times New Roman" w:hAnsi="Times New Roman" w:eastAsia="仿宋"/>
          <w:kern w:val="2"/>
          <w:sz w:val="28"/>
          <w:szCs w:val="28"/>
        </w:rPr>
        <w:br w:type="page"/>
      </w:r>
      <w:bookmarkStart w:id="187" w:name="_Toc24821"/>
      <w:r>
        <w:rPr>
          <w:rFonts w:hint="eastAsia" w:ascii="宋体" w:hAnsi="宋体" w:eastAsia="宋体" w:cs="宋体"/>
          <w:b/>
          <w:bCs/>
          <w:kern w:val="2"/>
          <w:sz w:val="30"/>
          <w:szCs w:val="30"/>
          <w:lang w:val="en-US" w:eastAsia="zh-CN"/>
        </w:rPr>
        <w:t>保障措施</w:t>
      </w:r>
      <w:bookmarkEnd w:id="176"/>
      <w:bookmarkEnd w:id="177"/>
      <w:bookmarkEnd w:id="185"/>
      <w:bookmarkEnd w:id="186"/>
      <w:bookmarkEnd w:id="187"/>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rPr>
      </w:pP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是一项民生工程，是保障农村饮水安全和提高</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服务的重要举措。各级政府及有关部门要从战略高度充分认识</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建设的重要性，切实增强</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发展的紧迫感、自觉性和主动性，上下联动，紧密协作，采取有力措施，保障规划目标任务顺利完成。</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rPr>
        <w:t>（一）</w:t>
      </w:r>
      <w:r>
        <w:rPr>
          <w:rFonts w:hint="default" w:ascii="Times New Roman" w:hAnsi="Times New Roman" w:eastAsia="宋体" w:cs="Times New Roman"/>
          <w:b w:val="0"/>
          <w:bCs w:val="0"/>
          <w:sz w:val="24"/>
          <w:szCs w:val="24"/>
          <w:highlight w:val="none"/>
          <w:lang w:val="en-US" w:eastAsia="zh-CN"/>
        </w:rPr>
        <w:t>强化组织领导，逐级压实责任</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rPr>
      </w:pP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工程建设由县级人民政府负责，牵头成立</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工程建设领导小组，明确水行政主管部门和其他相关部门、单位的工作责任，建立分工协同、密切配合的工作机制，形成合力，全力推进</w:t>
      </w:r>
      <w:r>
        <w:rPr>
          <w:rFonts w:hint="eastAsia" w:eastAsia="宋体" w:cs="Times New Roman"/>
          <w:b w:val="0"/>
          <w:bCs w:val="0"/>
          <w:sz w:val="24"/>
          <w:szCs w:val="24"/>
          <w:highlight w:val="none"/>
          <w:lang w:val="en-US" w:eastAsia="zh-CN"/>
        </w:rPr>
        <w:t>德安县</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工程的建设设施。将</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作列入地方政府年度工作计划，强化统筹协调，科学排定建设计划，落实工作责任，明确建设主体，及时分解有关工作任务，把任务和责任落实到前期工作、投资计划安排、工程建设管理、质量安全监控、资金使用监管等各个环节，切实加强</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建设工作的工作监督检查和动态跟踪，加大监督考核力度，以保证按计划、高质量、高效率地完成</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建设任务。</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rPr>
        <w:t>（二）</w:t>
      </w:r>
      <w:r>
        <w:rPr>
          <w:rFonts w:hint="default" w:ascii="Times New Roman" w:hAnsi="Times New Roman" w:eastAsia="宋体" w:cs="Times New Roman"/>
          <w:b w:val="0"/>
          <w:bCs w:val="0"/>
          <w:sz w:val="24"/>
          <w:szCs w:val="24"/>
          <w:highlight w:val="none"/>
          <w:lang w:val="en-US" w:eastAsia="zh-CN"/>
        </w:rPr>
        <w:t>引入市场机制，多方筹措资金</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rPr>
      </w:pP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工程属公益性建设项目，政府要把</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建设作为城市基础设施建设的优先领域，切实加大财政投入力度，县发改、财政、水利、环保、住建等部门，要积极帮助项目实施单位争取国家、省政策的资金支持，强化资金整合平台，集中用好各类资金；进一步创新投融资体制，多渠道筹措建设资金，创造良好的投资环境，鼓励和引导社会资本参与</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建设运营，鼓励推广政府和社会资本合作（PPP）模式。大力引导社会资金的投入，发挥社会资本的专业技术和管理优势，提高投资效率和服务质量，建立工程的长效投入机制，健全良性运行机制，有效解决工程建成后运行维护的投资保障问题。同时，须加强资金管理，严格实行项目资金专户管理，做到专款专用，杜绝</w:t>
      </w:r>
      <w:r>
        <w:rPr>
          <w:rFonts w:hint="eastAsia" w:eastAsia="宋体" w:cs="Times New Roman"/>
          <w:b w:val="0"/>
          <w:bCs w:val="0"/>
          <w:sz w:val="24"/>
          <w:szCs w:val="24"/>
          <w:highlight w:val="none"/>
          <w:lang w:eastAsia="zh-CN"/>
        </w:rPr>
        <w:t>挪作他用</w:t>
      </w:r>
      <w:r>
        <w:rPr>
          <w:rFonts w:hint="default" w:ascii="Times New Roman" w:hAnsi="Times New Roman" w:eastAsia="宋体" w:cs="Times New Roman"/>
          <w:b w:val="0"/>
          <w:bCs w:val="0"/>
          <w:sz w:val="24"/>
          <w:szCs w:val="24"/>
          <w:highlight w:val="none"/>
        </w:rPr>
        <w:t>，并接受审计部门监督，为项目实施提供资金保障。</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rPr>
        <w:t>（三）</w:t>
      </w:r>
      <w:r>
        <w:rPr>
          <w:rFonts w:hint="default" w:ascii="Times New Roman" w:hAnsi="Times New Roman" w:eastAsia="宋体" w:cs="Times New Roman"/>
          <w:b w:val="0"/>
          <w:bCs w:val="0"/>
          <w:sz w:val="24"/>
          <w:szCs w:val="24"/>
          <w:highlight w:val="none"/>
          <w:lang w:val="en-US" w:eastAsia="zh-CN"/>
        </w:rPr>
        <w:t>规范工程建设，确保建设质量</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严格按照有关技术标准和规范要求进行各项工程设计，统一工程设计标准，统一建设质量标准，统一建后管理。加大工程建设的科技含量，吸收引进和大力推广国内外先进实用技术，积极采用新材料、新工艺、新方法在</w:t>
      </w:r>
      <w:r>
        <w:rPr>
          <w:rFonts w:hint="eastAsia"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建设中的应用力度。加强工程项目建设质量监督，强化政府监督作用，建立健全“项目法人负责，施工单位保证，监理单位控制和政府监督相结合”的质量保证体系，工程项目建设管理实行项目法人责任制、工程监理和招标投标制，严格选择施工单位，对工程建设全过程进行质量监控，严把设备、材料质量关；严格执行有关法律法规和相关规定，严格项目的验收制度，确保工程建设进度和质量。</w:t>
      </w:r>
    </w:p>
    <w:p>
      <w:pPr>
        <w:pStyle w:val="69"/>
        <w:adjustRightInd w:val="0"/>
        <w:snapToGrid w:val="0"/>
        <w:spacing w:line="500" w:lineRule="exact"/>
        <w:ind w:firstLine="446" w:firstLineChars="186"/>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rPr>
        <w:t>（四）</w:t>
      </w:r>
      <w:r>
        <w:rPr>
          <w:rFonts w:hint="default" w:ascii="Times New Roman" w:hAnsi="Times New Roman" w:eastAsia="宋体" w:cs="Times New Roman"/>
          <w:b w:val="0"/>
          <w:bCs w:val="0"/>
          <w:sz w:val="24"/>
          <w:szCs w:val="24"/>
          <w:highlight w:val="none"/>
          <w:lang w:val="en-US" w:eastAsia="zh-CN"/>
        </w:rPr>
        <w:t>加强运行管护，健全机制体制</w:t>
      </w:r>
    </w:p>
    <w:p>
      <w:pPr>
        <w:pStyle w:val="69"/>
        <w:adjustRightInd w:val="0"/>
        <w:snapToGrid w:val="0"/>
        <w:spacing w:line="500" w:lineRule="exact"/>
        <w:ind w:firstLine="446" w:firstLineChars="186"/>
        <w:rPr>
          <w:rFonts w:hint="eastAsia"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城乡供水一体化</w:t>
      </w:r>
      <w:r>
        <w:rPr>
          <w:rFonts w:hint="default" w:ascii="Times New Roman" w:hAnsi="Times New Roman" w:eastAsia="宋体" w:cs="Times New Roman"/>
          <w:b w:val="0"/>
          <w:bCs w:val="0"/>
          <w:sz w:val="24"/>
          <w:szCs w:val="24"/>
          <w:highlight w:val="none"/>
        </w:rPr>
        <w:t>工程是一项重大民生工程，事关广大农村居民的身体健康和生活质量，应灵活运用有利于项目建设的筹资政策，明确该类工程的土地、电价等各项优惠政策，优先保证项目建设用地指标，落实相关税收优惠政策，政府部门在水源保护、项目审批、施工组织保障、竣工验收、水质检测及运营管理等方面提供监督指导，保证项目顺利实施，及早发挥效益。同时，规范工程建设和管护制度，进一步完善项目资金管理、项目验收程序、办法，促进项目规范建设，完善工程设施管护办法，形成长效管护制度。</w:t>
      </w:r>
    </w:p>
    <w:p>
      <w:pPr>
        <w:rPr>
          <w:rFonts w:hint="eastAsia" w:ascii="黑体" w:hAnsi="黑体" w:eastAsia="黑体" w:cs="黑体"/>
          <w:sz w:val="28"/>
          <w:szCs w:val="30"/>
        </w:rPr>
      </w:pPr>
    </w:p>
    <w:p>
      <w:pPr>
        <w:spacing w:line="360" w:lineRule="auto"/>
        <w:rPr>
          <w:rFonts w:hint="eastAsia" w:ascii="黑体" w:hAnsi="黑体" w:eastAsia="黑体" w:cs="黑体"/>
          <w:b/>
          <w:bCs/>
          <w:sz w:val="28"/>
          <w:szCs w:val="28"/>
        </w:rPr>
      </w:pPr>
      <w:r>
        <w:rPr>
          <w:rFonts w:hint="eastAsia" w:ascii="黑体" w:hAnsi="黑体" w:eastAsia="黑体" w:cs="黑体"/>
          <w:b/>
          <w:bCs/>
          <w:sz w:val="28"/>
          <w:szCs w:val="28"/>
        </w:rPr>
        <w:br w:type="column"/>
      </w:r>
      <w:r>
        <w:rPr>
          <w:rFonts w:hint="eastAsia" w:ascii="黑体" w:hAnsi="黑体" w:eastAsia="黑体" w:cs="黑体"/>
          <w:b/>
          <w:bCs/>
          <w:sz w:val="28"/>
          <w:szCs w:val="28"/>
        </w:rPr>
        <w:t>附件：</w:t>
      </w:r>
    </w:p>
    <w:p>
      <w:pPr>
        <w:spacing w:line="360" w:lineRule="auto"/>
        <w:rPr>
          <w:rFonts w:hint="eastAsia" w:ascii="宋体" w:hAnsi="宋体"/>
          <w:sz w:val="24"/>
          <w:szCs w:val="24"/>
        </w:rPr>
      </w:pPr>
      <w:r>
        <w:rPr>
          <w:rFonts w:hint="eastAsia" w:ascii="宋体" w:hAnsi="宋体"/>
          <w:sz w:val="24"/>
          <w:szCs w:val="24"/>
        </w:rPr>
        <w:t>典型工程设计（含图）附表</w:t>
      </w:r>
    </w:p>
    <w:p>
      <w:pPr>
        <w:pStyle w:val="2"/>
        <w:spacing w:line="360" w:lineRule="auto"/>
        <w:ind w:left="0" w:leftChars="0" w:firstLine="0" w:firstLineChars="0"/>
        <w:rPr>
          <w:rFonts w:hint="eastAsia" w:ascii="宋体" w:hAnsi="宋体"/>
          <w:sz w:val="24"/>
          <w:szCs w:val="24"/>
          <w:lang w:val="en-US" w:eastAsia="zh-CN"/>
        </w:rPr>
      </w:pPr>
    </w:p>
    <w:p>
      <w:pPr>
        <w:spacing w:line="360" w:lineRule="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附表：</w:t>
      </w:r>
    </w:p>
    <w:p>
      <w:pPr>
        <w:spacing w:line="360" w:lineRule="auto"/>
        <w:rPr>
          <w:rFonts w:hint="eastAsia" w:ascii="宋体" w:hAnsi="宋体"/>
          <w:sz w:val="24"/>
          <w:szCs w:val="24"/>
        </w:rPr>
      </w:pPr>
      <w:r>
        <w:rPr>
          <w:rFonts w:hint="eastAsia" w:ascii="宋体" w:hAnsi="宋体"/>
          <w:sz w:val="24"/>
          <w:szCs w:val="24"/>
        </w:rPr>
        <w:t>附表1：</w:t>
      </w:r>
      <w:r>
        <w:rPr>
          <w:rFonts w:hint="eastAsia" w:ascii="宋体" w:hAnsi="宋体"/>
          <w:sz w:val="24"/>
          <w:szCs w:val="24"/>
          <w:lang w:val="en-US" w:eastAsia="zh-CN"/>
        </w:rPr>
        <w:t>德安</w:t>
      </w:r>
      <w:r>
        <w:rPr>
          <w:rFonts w:hint="eastAsia" w:ascii="宋体" w:hAnsi="宋体"/>
          <w:sz w:val="24"/>
          <w:szCs w:val="24"/>
        </w:rPr>
        <w:t>县</w:t>
      </w:r>
      <w:r>
        <w:rPr>
          <w:rFonts w:hint="eastAsia" w:ascii="宋体" w:hAnsi="宋体"/>
          <w:sz w:val="24"/>
          <w:szCs w:val="24"/>
          <w:lang w:val="en-US" w:eastAsia="zh-CN"/>
        </w:rPr>
        <w:t>城乡</w:t>
      </w:r>
      <w:r>
        <w:rPr>
          <w:rFonts w:hint="eastAsia" w:ascii="宋体" w:hAnsi="宋体"/>
          <w:sz w:val="24"/>
          <w:szCs w:val="24"/>
        </w:rPr>
        <w:t>供水现状总体情况表</w:t>
      </w:r>
    </w:p>
    <w:p>
      <w:pPr>
        <w:spacing w:line="360" w:lineRule="auto"/>
        <w:rPr>
          <w:rFonts w:hint="eastAsia" w:ascii="宋体" w:hAnsi="宋体"/>
          <w:sz w:val="24"/>
          <w:szCs w:val="24"/>
        </w:rPr>
      </w:pPr>
      <w:r>
        <w:rPr>
          <w:rFonts w:hint="eastAsia" w:ascii="宋体" w:hAnsi="宋体"/>
          <w:sz w:val="24"/>
          <w:szCs w:val="24"/>
        </w:rPr>
        <w:t>附表2：</w:t>
      </w:r>
      <w:r>
        <w:rPr>
          <w:rFonts w:hint="eastAsia" w:ascii="宋体" w:hAnsi="宋体"/>
          <w:sz w:val="24"/>
          <w:szCs w:val="24"/>
          <w:lang w:val="en-US" w:eastAsia="zh-CN"/>
        </w:rPr>
        <w:t>德安</w:t>
      </w:r>
      <w:r>
        <w:rPr>
          <w:rFonts w:hint="eastAsia" w:ascii="宋体" w:hAnsi="宋体"/>
          <w:sz w:val="24"/>
          <w:szCs w:val="24"/>
        </w:rPr>
        <w:t>县</w:t>
      </w:r>
      <w:r>
        <w:rPr>
          <w:rFonts w:hint="eastAsia" w:ascii="宋体" w:hAnsi="宋体"/>
          <w:sz w:val="24"/>
          <w:szCs w:val="24"/>
          <w:lang w:val="en-US" w:eastAsia="zh-CN"/>
        </w:rPr>
        <w:t>城乡</w:t>
      </w:r>
      <w:r>
        <w:rPr>
          <w:rFonts w:hint="eastAsia" w:ascii="宋体" w:hAnsi="宋体"/>
          <w:sz w:val="24"/>
          <w:szCs w:val="24"/>
        </w:rPr>
        <w:t>供水工程现状表</w:t>
      </w:r>
    </w:p>
    <w:p>
      <w:pPr>
        <w:spacing w:line="360" w:lineRule="auto"/>
        <w:rPr>
          <w:rFonts w:hint="eastAsia" w:ascii="宋体" w:hAnsi="宋体"/>
          <w:sz w:val="24"/>
          <w:szCs w:val="24"/>
          <w:lang w:val="en-US" w:eastAsia="zh-CN"/>
        </w:rPr>
      </w:pPr>
      <w:r>
        <w:rPr>
          <w:rFonts w:hint="eastAsia" w:ascii="宋体" w:hAnsi="宋体"/>
          <w:sz w:val="24"/>
          <w:szCs w:val="24"/>
        </w:rPr>
        <w:t>附表3：</w:t>
      </w:r>
      <w:r>
        <w:rPr>
          <w:rFonts w:hint="eastAsia" w:ascii="宋体" w:hAnsi="宋体"/>
          <w:sz w:val="24"/>
          <w:szCs w:val="24"/>
          <w:lang w:val="en-US" w:eastAsia="zh-CN"/>
        </w:rPr>
        <w:t>德安</w:t>
      </w:r>
      <w:r>
        <w:rPr>
          <w:rFonts w:hint="eastAsia" w:ascii="宋体" w:hAnsi="宋体"/>
          <w:sz w:val="24"/>
          <w:szCs w:val="24"/>
        </w:rPr>
        <w:t>县城乡供水一体化工程规划</w:t>
      </w:r>
      <w:r>
        <w:rPr>
          <w:rFonts w:hint="eastAsia" w:ascii="宋体" w:hAnsi="宋体"/>
          <w:sz w:val="24"/>
          <w:szCs w:val="24"/>
          <w:lang w:val="en-US" w:eastAsia="zh-CN"/>
        </w:rPr>
        <w:t>表</w:t>
      </w:r>
    </w:p>
    <w:p>
      <w:pPr>
        <w:spacing w:line="360" w:lineRule="auto"/>
        <w:rPr>
          <w:rFonts w:hint="eastAsia" w:ascii="宋体" w:hAnsi="宋体"/>
          <w:sz w:val="24"/>
          <w:szCs w:val="24"/>
        </w:rPr>
      </w:pPr>
      <w:r>
        <w:rPr>
          <w:rFonts w:hint="eastAsia" w:ascii="宋体" w:hAnsi="宋体"/>
          <w:sz w:val="24"/>
          <w:szCs w:val="24"/>
        </w:rPr>
        <w:t>附表4：</w:t>
      </w:r>
      <w:r>
        <w:rPr>
          <w:rFonts w:hint="eastAsia" w:ascii="宋体" w:hAnsi="宋体"/>
          <w:sz w:val="24"/>
          <w:szCs w:val="24"/>
          <w:lang w:val="en-US" w:eastAsia="zh-CN"/>
        </w:rPr>
        <w:t>德安</w:t>
      </w:r>
      <w:r>
        <w:rPr>
          <w:rFonts w:hint="eastAsia" w:ascii="宋体" w:hAnsi="宋体"/>
          <w:sz w:val="24"/>
          <w:szCs w:val="24"/>
        </w:rPr>
        <w:t>县城乡供水规划水平年（20</w:t>
      </w:r>
      <w:r>
        <w:rPr>
          <w:rFonts w:hint="eastAsia" w:ascii="宋体" w:hAnsi="宋体"/>
          <w:sz w:val="24"/>
          <w:szCs w:val="24"/>
          <w:lang w:val="en-US" w:eastAsia="zh-CN"/>
        </w:rPr>
        <w:t>2</w:t>
      </w:r>
      <w:r>
        <w:rPr>
          <w:rFonts w:hint="eastAsia" w:ascii="宋体" w:hAnsi="宋体"/>
          <w:sz w:val="24"/>
          <w:szCs w:val="24"/>
        </w:rPr>
        <w:t>5年）情况表</w:t>
      </w:r>
    </w:p>
    <w:p>
      <w:pPr>
        <w:spacing w:line="360" w:lineRule="auto"/>
        <w:rPr>
          <w:rFonts w:hint="eastAsia" w:ascii="宋体" w:hAnsi="宋体"/>
          <w:sz w:val="24"/>
          <w:szCs w:val="24"/>
        </w:rPr>
      </w:pPr>
    </w:p>
    <w:p>
      <w:pPr>
        <w:spacing w:line="360" w:lineRule="auto"/>
        <w:rPr>
          <w:rFonts w:hint="eastAsia" w:ascii="黑体" w:hAnsi="黑体" w:eastAsia="黑体" w:cs="黑体"/>
          <w:b/>
          <w:bCs/>
          <w:sz w:val="28"/>
          <w:szCs w:val="28"/>
          <w:lang w:eastAsia="zh-CN"/>
        </w:rPr>
      </w:pPr>
      <w:r>
        <w:rPr>
          <w:rFonts w:hint="eastAsia" w:ascii="黑体" w:hAnsi="黑体" w:eastAsia="黑体" w:cs="黑体"/>
          <w:b/>
          <w:bCs/>
          <w:sz w:val="28"/>
          <w:szCs w:val="28"/>
        </w:rPr>
        <w:t>附图</w:t>
      </w:r>
      <w:r>
        <w:rPr>
          <w:rFonts w:hint="eastAsia" w:ascii="黑体" w:hAnsi="黑体" w:eastAsia="黑体" w:cs="黑体"/>
          <w:b/>
          <w:bCs/>
          <w:sz w:val="28"/>
          <w:szCs w:val="28"/>
          <w:lang w:eastAsia="zh-CN"/>
        </w:rPr>
        <w:t>：</w:t>
      </w:r>
    </w:p>
    <w:p>
      <w:pPr>
        <w:spacing w:line="360" w:lineRule="auto"/>
        <w:rPr>
          <w:rFonts w:hint="eastAsia" w:ascii="宋体" w:hAnsi="宋体"/>
          <w:sz w:val="24"/>
          <w:szCs w:val="24"/>
        </w:rPr>
      </w:pPr>
      <w:r>
        <w:rPr>
          <w:rFonts w:hint="eastAsia" w:ascii="宋体" w:hAnsi="宋体"/>
          <w:sz w:val="24"/>
          <w:szCs w:val="24"/>
        </w:rPr>
        <w:t>附图1：</w:t>
      </w:r>
      <w:r>
        <w:rPr>
          <w:rFonts w:hint="eastAsia" w:ascii="宋体" w:hAnsi="宋体"/>
          <w:sz w:val="24"/>
          <w:szCs w:val="24"/>
          <w:lang w:val="en-US" w:eastAsia="zh-CN"/>
        </w:rPr>
        <w:t>德安</w:t>
      </w:r>
      <w:r>
        <w:rPr>
          <w:rFonts w:hint="eastAsia" w:ascii="宋体" w:hAnsi="宋体"/>
          <w:sz w:val="24"/>
          <w:szCs w:val="24"/>
        </w:rPr>
        <w:t>县</w:t>
      </w:r>
      <w:r>
        <w:rPr>
          <w:rFonts w:hint="eastAsia" w:ascii="宋体" w:hAnsi="宋体"/>
          <w:sz w:val="24"/>
          <w:szCs w:val="24"/>
          <w:lang w:val="en-US" w:eastAsia="zh-CN"/>
        </w:rPr>
        <w:t>城乡</w:t>
      </w:r>
      <w:r>
        <w:rPr>
          <w:rFonts w:hint="eastAsia" w:ascii="宋体" w:hAnsi="宋体"/>
          <w:sz w:val="24"/>
          <w:szCs w:val="24"/>
        </w:rPr>
        <w:t>供水工程现状布置图</w:t>
      </w:r>
    </w:p>
    <w:p>
      <w:pPr>
        <w:spacing w:line="360" w:lineRule="auto"/>
        <w:rPr>
          <w:rFonts w:hint="eastAsia" w:ascii="宋体" w:hAnsi="宋体"/>
          <w:sz w:val="24"/>
          <w:szCs w:val="24"/>
        </w:rPr>
      </w:pPr>
      <w:r>
        <w:rPr>
          <w:rFonts w:hint="eastAsia" w:ascii="宋体" w:hAnsi="宋体"/>
          <w:sz w:val="24"/>
          <w:szCs w:val="24"/>
        </w:rPr>
        <w:t>附图2：</w:t>
      </w:r>
      <w:r>
        <w:rPr>
          <w:rFonts w:hint="eastAsia" w:ascii="宋体" w:hAnsi="宋体"/>
          <w:sz w:val="24"/>
          <w:szCs w:val="24"/>
          <w:lang w:val="en-US" w:eastAsia="zh-CN"/>
        </w:rPr>
        <w:t>德安</w:t>
      </w:r>
      <w:r>
        <w:rPr>
          <w:rFonts w:hint="eastAsia" w:ascii="宋体" w:hAnsi="宋体"/>
          <w:sz w:val="24"/>
          <w:szCs w:val="24"/>
        </w:rPr>
        <w:t>县城乡供水一体化工程布置总图</w:t>
      </w:r>
    </w:p>
    <w:p>
      <w:pPr>
        <w:spacing w:line="360" w:lineRule="auto"/>
        <w:rPr>
          <w:rFonts w:hint="eastAsia" w:ascii="Times New Roman" w:hAnsi="Times New Roman" w:eastAsia="仿宋"/>
          <w:sz w:val="24"/>
          <w:szCs w:val="24"/>
          <w:lang w:eastAsia="zh-CN"/>
        </w:rPr>
      </w:pPr>
      <w:r>
        <w:rPr>
          <w:rFonts w:hint="eastAsia" w:ascii="宋体" w:hAnsi="宋体"/>
          <w:sz w:val="24"/>
          <w:szCs w:val="24"/>
        </w:rPr>
        <w:t>附图3：</w:t>
      </w:r>
      <w:r>
        <w:rPr>
          <w:rFonts w:hint="eastAsia" w:ascii="宋体" w:hAnsi="宋体"/>
          <w:sz w:val="24"/>
          <w:szCs w:val="24"/>
          <w:lang w:val="en-US" w:eastAsia="zh-CN"/>
        </w:rPr>
        <w:t>德安</w:t>
      </w:r>
      <w:r>
        <w:rPr>
          <w:rFonts w:hint="eastAsia" w:ascii="宋体" w:hAnsi="宋体"/>
          <w:sz w:val="24"/>
          <w:szCs w:val="24"/>
        </w:rPr>
        <w:t>县城乡供水一体化</w:t>
      </w:r>
      <w:r>
        <w:rPr>
          <w:rFonts w:hint="eastAsia" w:ascii="宋体" w:hAnsi="宋体"/>
          <w:sz w:val="24"/>
          <w:szCs w:val="24"/>
          <w:lang w:val="en-US" w:eastAsia="zh-CN"/>
        </w:rPr>
        <w:t>近期规划</w:t>
      </w:r>
      <w:r>
        <w:rPr>
          <w:rFonts w:hint="eastAsia" w:ascii="宋体" w:hAnsi="宋体"/>
          <w:sz w:val="24"/>
          <w:szCs w:val="24"/>
        </w:rPr>
        <w:t>工程布置图</w:t>
      </w:r>
    </w:p>
    <w:sectPr>
      <w:pgSz w:w="11907" w:h="16840"/>
      <w:pgMar w:top="1440" w:right="1800" w:bottom="1440" w:left="1800" w:header="851" w:footer="992" w:gutter="0"/>
      <w:pgNumType w:fmt="decimal"/>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简">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A8999"/>
    <w:multiLevelType w:val="singleLevel"/>
    <w:tmpl w:val="AF5A8999"/>
    <w:lvl w:ilvl="0" w:tentative="0">
      <w:start w:val="1"/>
      <w:numFmt w:val="decimal"/>
      <w:suff w:val="nothing"/>
      <w:lvlText w:val="%1、"/>
      <w:lvlJc w:val="left"/>
    </w:lvl>
  </w:abstractNum>
  <w:abstractNum w:abstractNumId="1">
    <w:nsid w:val="B7A41FCB"/>
    <w:multiLevelType w:val="singleLevel"/>
    <w:tmpl w:val="B7A41FCB"/>
    <w:lvl w:ilvl="0" w:tentative="0">
      <w:start w:val="3"/>
      <w:numFmt w:val="decimal"/>
      <w:suff w:val="nothing"/>
      <w:lvlText w:val="%1）"/>
      <w:lvlJc w:val="left"/>
    </w:lvl>
  </w:abstractNum>
  <w:abstractNum w:abstractNumId="2">
    <w:nsid w:val="D7AE8112"/>
    <w:multiLevelType w:val="singleLevel"/>
    <w:tmpl w:val="D7AE8112"/>
    <w:lvl w:ilvl="0" w:tentative="0">
      <w:start w:val="1"/>
      <w:numFmt w:val="decimal"/>
      <w:suff w:val="nothing"/>
      <w:lvlText w:val="%1、"/>
      <w:lvlJc w:val="left"/>
    </w:lvl>
  </w:abstractNum>
  <w:abstractNum w:abstractNumId="3">
    <w:nsid w:val="D84AF213"/>
    <w:multiLevelType w:val="singleLevel"/>
    <w:tmpl w:val="D84AF213"/>
    <w:lvl w:ilvl="0" w:tentative="0">
      <w:start w:val="1"/>
      <w:numFmt w:val="decimal"/>
      <w:suff w:val="nothing"/>
      <w:lvlText w:val="（%1）"/>
      <w:lvlJc w:val="left"/>
    </w:lvl>
  </w:abstractNum>
  <w:abstractNum w:abstractNumId="4">
    <w:nsid w:val="31FDACD9"/>
    <w:multiLevelType w:val="singleLevel"/>
    <w:tmpl w:val="31FDACD9"/>
    <w:lvl w:ilvl="0" w:tentative="0">
      <w:start w:val="1"/>
      <w:numFmt w:val="decimal"/>
      <w:suff w:val="nothing"/>
      <w:lvlText w:val="%1、"/>
      <w:lvlJc w:val="left"/>
    </w:lvl>
  </w:abstractNum>
  <w:abstractNum w:abstractNumId="5">
    <w:nsid w:val="32D86ABD"/>
    <w:multiLevelType w:val="singleLevel"/>
    <w:tmpl w:val="32D86ABD"/>
    <w:lvl w:ilvl="0" w:tentative="0">
      <w:start w:val="1"/>
      <w:numFmt w:val="decimal"/>
      <w:suff w:val="nothing"/>
      <w:lvlText w:val="%1、"/>
      <w:lvlJc w:val="left"/>
    </w:lvl>
  </w:abstractNum>
  <w:abstractNum w:abstractNumId="6">
    <w:nsid w:val="368D3839"/>
    <w:multiLevelType w:val="singleLevel"/>
    <w:tmpl w:val="368D3839"/>
    <w:lvl w:ilvl="0" w:tentative="0">
      <w:start w:val="1"/>
      <w:numFmt w:val="decimal"/>
      <w:suff w:val="nothing"/>
      <w:lvlText w:val="%1、"/>
      <w:lvlJc w:val="left"/>
    </w:lvl>
  </w:abstractNum>
  <w:abstractNum w:abstractNumId="7">
    <w:nsid w:val="3DD97ABA"/>
    <w:multiLevelType w:val="singleLevel"/>
    <w:tmpl w:val="3DD97ABA"/>
    <w:lvl w:ilvl="0" w:tentative="0">
      <w:start w:val="1"/>
      <w:numFmt w:val="decimal"/>
      <w:suff w:val="nothing"/>
      <w:lvlText w:val="%1、"/>
      <w:lvlJc w:val="left"/>
    </w:lvl>
  </w:abstractNum>
  <w:abstractNum w:abstractNumId="8">
    <w:nsid w:val="5BFF8140"/>
    <w:multiLevelType w:val="singleLevel"/>
    <w:tmpl w:val="5BFF8140"/>
    <w:lvl w:ilvl="0" w:tentative="0">
      <w:start w:val="1"/>
      <w:numFmt w:val="decimal"/>
      <w:suff w:val="nothing"/>
      <w:lvlText w:val="%1、"/>
      <w:lvlJc w:val="left"/>
    </w:lvl>
  </w:abstractNum>
  <w:abstractNum w:abstractNumId="9">
    <w:nsid w:val="5FDE8B57"/>
    <w:multiLevelType w:val="singleLevel"/>
    <w:tmpl w:val="5FDE8B57"/>
    <w:lvl w:ilvl="0" w:tentative="0">
      <w:start w:val="3"/>
      <w:numFmt w:val="decimal"/>
      <w:suff w:val="nothing"/>
      <w:lvlText w:val="%1、"/>
      <w:lvlJc w:val="left"/>
    </w:lvl>
  </w:abstractNum>
  <w:abstractNum w:abstractNumId="10">
    <w:nsid w:val="659206A2"/>
    <w:multiLevelType w:val="singleLevel"/>
    <w:tmpl w:val="659206A2"/>
    <w:lvl w:ilvl="0" w:tentative="0">
      <w:start w:val="1"/>
      <w:numFmt w:val="decimal"/>
      <w:suff w:val="nothing"/>
      <w:lvlText w:val="（%1）"/>
      <w:lvlJc w:val="left"/>
    </w:lvl>
  </w:abstractNum>
  <w:abstractNum w:abstractNumId="11">
    <w:nsid w:val="7A4907F6"/>
    <w:multiLevelType w:val="multilevel"/>
    <w:tmpl w:val="7A4907F6"/>
    <w:lvl w:ilvl="0" w:tentative="0">
      <w:start w:val="1"/>
      <w:numFmt w:val="decimal"/>
      <w:pStyle w:val="4"/>
      <w:lvlText w:val="%1"/>
      <w:lvlJc w:val="left"/>
      <w:pPr>
        <w:tabs>
          <w:tab w:val="left" w:pos="425"/>
        </w:tabs>
        <w:ind w:left="425" w:hanging="425"/>
      </w:pPr>
      <w:rPr>
        <w:rFonts w:hint="eastAsia"/>
      </w:rPr>
    </w:lvl>
    <w:lvl w:ilvl="1" w:tentative="0">
      <w:start w:val="1"/>
      <w:numFmt w:val="decimal"/>
      <w:pStyle w:val="5"/>
      <w:lvlText w:val="%1.%2"/>
      <w:lvlJc w:val="left"/>
      <w:pPr>
        <w:tabs>
          <w:tab w:val="left" w:pos="567"/>
        </w:tabs>
        <w:ind w:left="567" w:hanging="567"/>
      </w:pPr>
      <w:rPr>
        <w:rFonts w:hint="eastAsia"/>
      </w:rPr>
    </w:lvl>
    <w:lvl w:ilvl="2" w:tentative="0">
      <w:start w:val="1"/>
      <w:numFmt w:val="decimal"/>
      <w:pStyle w:val="6"/>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num w:numId="1">
    <w:abstractNumId w:val="11"/>
  </w:num>
  <w:num w:numId="2">
    <w:abstractNumId w:val="4"/>
  </w:num>
  <w:num w:numId="3">
    <w:abstractNumId w:val="9"/>
  </w:num>
  <w:num w:numId="4">
    <w:abstractNumId w:val="5"/>
  </w:num>
  <w:num w:numId="5">
    <w:abstractNumId w:val="3"/>
  </w:num>
  <w:num w:numId="6">
    <w:abstractNumId w:val="10"/>
  </w:num>
  <w:num w:numId="7">
    <w:abstractNumId w:val="2"/>
  </w:num>
  <w:num w:numId="8">
    <w:abstractNumId w:val="6"/>
  </w:num>
  <w:num w:numId="9">
    <w:abstractNumId w:val="0"/>
  </w:num>
  <w:num w:numId="10">
    <w:abstractNumId w:val="8"/>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8"/>
  <w:drawingGridVerticalSpacing w:val="38"/>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lNGE1N2MwYWVjNjQ1NTFkNjA2NWM0YTkwNGFjZGMifQ=="/>
  </w:docVars>
  <w:rsids>
    <w:rsidRoot w:val="00AB7A60"/>
    <w:rsid w:val="0000029C"/>
    <w:rsid w:val="000016A9"/>
    <w:rsid w:val="00001C82"/>
    <w:rsid w:val="00006AC6"/>
    <w:rsid w:val="00006B49"/>
    <w:rsid w:val="0000775B"/>
    <w:rsid w:val="000120F0"/>
    <w:rsid w:val="00017107"/>
    <w:rsid w:val="00022F21"/>
    <w:rsid w:val="0002389D"/>
    <w:rsid w:val="00023F74"/>
    <w:rsid w:val="000242DE"/>
    <w:rsid w:val="0002730C"/>
    <w:rsid w:val="000353D4"/>
    <w:rsid w:val="00037941"/>
    <w:rsid w:val="0003795F"/>
    <w:rsid w:val="00040659"/>
    <w:rsid w:val="00040DA0"/>
    <w:rsid w:val="00041645"/>
    <w:rsid w:val="00043B01"/>
    <w:rsid w:val="00044248"/>
    <w:rsid w:val="0004485C"/>
    <w:rsid w:val="00044D47"/>
    <w:rsid w:val="00045014"/>
    <w:rsid w:val="000469B2"/>
    <w:rsid w:val="000476E0"/>
    <w:rsid w:val="00047DA0"/>
    <w:rsid w:val="00052BD7"/>
    <w:rsid w:val="0005465E"/>
    <w:rsid w:val="00054E8D"/>
    <w:rsid w:val="0005638E"/>
    <w:rsid w:val="0005789A"/>
    <w:rsid w:val="0006428A"/>
    <w:rsid w:val="0006467A"/>
    <w:rsid w:val="00070E4A"/>
    <w:rsid w:val="00072FD5"/>
    <w:rsid w:val="000751C9"/>
    <w:rsid w:val="00081CDB"/>
    <w:rsid w:val="00087694"/>
    <w:rsid w:val="000876BE"/>
    <w:rsid w:val="00087C53"/>
    <w:rsid w:val="000919A5"/>
    <w:rsid w:val="00093633"/>
    <w:rsid w:val="000961ED"/>
    <w:rsid w:val="0009770A"/>
    <w:rsid w:val="00097A1D"/>
    <w:rsid w:val="00097D50"/>
    <w:rsid w:val="000A33F1"/>
    <w:rsid w:val="000A3507"/>
    <w:rsid w:val="000A385A"/>
    <w:rsid w:val="000A3BAA"/>
    <w:rsid w:val="000A4AE1"/>
    <w:rsid w:val="000A7C1D"/>
    <w:rsid w:val="000B05DF"/>
    <w:rsid w:val="000B08D5"/>
    <w:rsid w:val="000B1D4D"/>
    <w:rsid w:val="000B242B"/>
    <w:rsid w:val="000B2D7C"/>
    <w:rsid w:val="000B69CD"/>
    <w:rsid w:val="000C3831"/>
    <w:rsid w:val="000D00B6"/>
    <w:rsid w:val="000D09BC"/>
    <w:rsid w:val="000D0CF1"/>
    <w:rsid w:val="000D1442"/>
    <w:rsid w:val="000D6ECC"/>
    <w:rsid w:val="000E3D0D"/>
    <w:rsid w:val="000E4E6C"/>
    <w:rsid w:val="000E6AE1"/>
    <w:rsid w:val="000E709A"/>
    <w:rsid w:val="000F0ABC"/>
    <w:rsid w:val="000F0B68"/>
    <w:rsid w:val="000F0B8D"/>
    <w:rsid w:val="000F0D26"/>
    <w:rsid w:val="000F1BC2"/>
    <w:rsid w:val="000F33AB"/>
    <w:rsid w:val="000F433F"/>
    <w:rsid w:val="000F50FE"/>
    <w:rsid w:val="000F6263"/>
    <w:rsid w:val="000F64B0"/>
    <w:rsid w:val="00100356"/>
    <w:rsid w:val="00100680"/>
    <w:rsid w:val="00101D38"/>
    <w:rsid w:val="00102EA6"/>
    <w:rsid w:val="001036CC"/>
    <w:rsid w:val="00105658"/>
    <w:rsid w:val="001104BC"/>
    <w:rsid w:val="001105E0"/>
    <w:rsid w:val="0011097B"/>
    <w:rsid w:val="00111F4B"/>
    <w:rsid w:val="00114C72"/>
    <w:rsid w:val="001157ED"/>
    <w:rsid w:val="00116314"/>
    <w:rsid w:val="0011774C"/>
    <w:rsid w:val="001230AD"/>
    <w:rsid w:val="00124E28"/>
    <w:rsid w:val="00124FA4"/>
    <w:rsid w:val="00125C78"/>
    <w:rsid w:val="001266C9"/>
    <w:rsid w:val="00126F8B"/>
    <w:rsid w:val="00131D7F"/>
    <w:rsid w:val="0013205C"/>
    <w:rsid w:val="00137C41"/>
    <w:rsid w:val="001411C6"/>
    <w:rsid w:val="001516ED"/>
    <w:rsid w:val="0015301A"/>
    <w:rsid w:val="001539B0"/>
    <w:rsid w:val="00157750"/>
    <w:rsid w:val="001625BE"/>
    <w:rsid w:val="00163497"/>
    <w:rsid w:val="00164B18"/>
    <w:rsid w:val="001653D9"/>
    <w:rsid w:val="0016695B"/>
    <w:rsid w:val="0016746E"/>
    <w:rsid w:val="00170732"/>
    <w:rsid w:val="00171A38"/>
    <w:rsid w:val="00172557"/>
    <w:rsid w:val="001748B9"/>
    <w:rsid w:val="00175148"/>
    <w:rsid w:val="001760D2"/>
    <w:rsid w:val="0018096F"/>
    <w:rsid w:val="00181053"/>
    <w:rsid w:val="00181CE1"/>
    <w:rsid w:val="001822B9"/>
    <w:rsid w:val="001829FD"/>
    <w:rsid w:val="0018313A"/>
    <w:rsid w:val="001837AB"/>
    <w:rsid w:val="0018504C"/>
    <w:rsid w:val="00186626"/>
    <w:rsid w:val="001925E2"/>
    <w:rsid w:val="00192D11"/>
    <w:rsid w:val="00194101"/>
    <w:rsid w:val="00195E31"/>
    <w:rsid w:val="00196C9A"/>
    <w:rsid w:val="001A014F"/>
    <w:rsid w:val="001A3A05"/>
    <w:rsid w:val="001A710C"/>
    <w:rsid w:val="001B0F27"/>
    <w:rsid w:val="001B2952"/>
    <w:rsid w:val="001B53CC"/>
    <w:rsid w:val="001C180B"/>
    <w:rsid w:val="001C345D"/>
    <w:rsid w:val="001C57FC"/>
    <w:rsid w:val="001C59B1"/>
    <w:rsid w:val="001C7630"/>
    <w:rsid w:val="001D169F"/>
    <w:rsid w:val="001D442C"/>
    <w:rsid w:val="001D491B"/>
    <w:rsid w:val="001D655B"/>
    <w:rsid w:val="001D79B3"/>
    <w:rsid w:val="001E1A32"/>
    <w:rsid w:val="001E3302"/>
    <w:rsid w:val="001E36A1"/>
    <w:rsid w:val="001E53E9"/>
    <w:rsid w:val="001F0129"/>
    <w:rsid w:val="001F157F"/>
    <w:rsid w:val="001F166D"/>
    <w:rsid w:val="001F1803"/>
    <w:rsid w:val="001F2CAC"/>
    <w:rsid w:val="001F4231"/>
    <w:rsid w:val="001F4A20"/>
    <w:rsid w:val="001F5739"/>
    <w:rsid w:val="001F76A8"/>
    <w:rsid w:val="001F7D8C"/>
    <w:rsid w:val="00204C7D"/>
    <w:rsid w:val="002057F5"/>
    <w:rsid w:val="00207115"/>
    <w:rsid w:val="002132BA"/>
    <w:rsid w:val="00214241"/>
    <w:rsid w:val="00217A87"/>
    <w:rsid w:val="0022033F"/>
    <w:rsid w:val="00230447"/>
    <w:rsid w:val="00231075"/>
    <w:rsid w:val="00233D3C"/>
    <w:rsid w:val="00234138"/>
    <w:rsid w:val="00235D6A"/>
    <w:rsid w:val="00235E1A"/>
    <w:rsid w:val="00237DA1"/>
    <w:rsid w:val="0024569C"/>
    <w:rsid w:val="002457CA"/>
    <w:rsid w:val="00245A40"/>
    <w:rsid w:val="002501EC"/>
    <w:rsid w:val="00252162"/>
    <w:rsid w:val="00252723"/>
    <w:rsid w:val="0025302F"/>
    <w:rsid w:val="00254D43"/>
    <w:rsid w:val="00254E58"/>
    <w:rsid w:val="00261ED4"/>
    <w:rsid w:val="00262A50"/>
    <w:rsid w:val="00264154"/>
    <w:rsid w:val="002648AD"/>
    <w:rsid w:val="00264AEC"/>
    <w:rsid w:val="002650C1"/>
    <w:rsid w:val="00266BDD"/>
    <w:rsid w:val="00270309"/>
    <w:rsid w:val="00270F02"/>
    <w:rsid w:val="00272C5A"/>
    <w:rsid w:val="00273956"/>
    <w:rsid w:val="0027546B"/>
    <w:rsid w:val="00277DD2"/>
    <w:rsid w:val="00283CF6"/>
    <w:rsid w:val="0029070A"/>
    <w:rsid w:val="00292D8C"/>
    <w:rsid w:val="00293F02"/>
    <w:rsid w:val="0029549B"/>
    <w:rsid w:val="00296B43"/>
    <w:rsid w:val="002A0A1E"/>
    <w:rsid w:val="002A5B14"/>
    <w:rsid w:val="002B24C8"/>
    <w:rsid w:val="002B2A2B"/>
    <w:rsid w:val="002B2F73"/>
    <w:rsid w:val="002B4262"/>
    <w:rsid w:val="002B60E4"/>
    <w:rsid w:val="002B6CD3"/>
    <w:rsid w:val="002B736F"/>
    <w:rsid w:val="002C0B8C"/>
    <w:rsid w:val="002C2F47"/>
    <w:rsid w:val="002C4007"/>
    <w:rsid w:val="002C48D4"/>
    <w:rsid w:val="002C6B81"/>
    <w:rsid w:val="002D087F"/>
    <w:rsid w:val="002D5D24"/>
    <w:rsid w:val="002E0AE9"/>
    <w:rsid w:val="002E21BD"/>
    <w:rsid w:val="002E33EE"/>
    <w:rsid w:val="002E4DE1"/>
    <w:rsid w:val="002F001C"/>
    <w:rsid w:val="002F38F7"/>
    <w:rsid w:val="002F6D72"/>
    <w:rsid w:val="002F7176"/>
    <w:rsid w:val="002F7509"/>
    <w:rsid w:val="00300000"/>
    <w:rsid w:val="00300881"/>
    <w:rsid w:val="00301461"/>
    <w:rsid w:val="0030349F"/>
    <w:rsid w:val="00303CEA"/>
    <w:rsid w:val="00306447"/>
    <w:rsid w:val="00307CFB"/>
    <w:rsid w:val="00310EEB"/>
    <w:rsid w:val="00310FD3"/>
    <w:rsid w:val="0031269D"/>
    <w:rsid w:val="00314E3A"/>
    <w:rsid w:val="003158E2"/>
    <w:rsid w:val="00315CEF"/>
    <w:rsid w:val="00317267"/>
    <w:rsid w:val="00322978"/>
    <w:rsid w:val="0032379F"/>
    <w:rsid w:val="00325A95"/>
    <w:rsid w:val="00326AC5"/>
    <w:rsid w:val="003323F3"/>
    <w:rsid w:val="00332AF6"/>
    <w:rsid w:val="00333766"/>
    <w:rsid w:val="003337EA"/>
    <w:rsid w:val="00335A4D"/>
    <w:rsid w:val="00335DED"/>
    <w:rsid w:val="003372AA"/>
    <w:rsid w:val="003400C7"/>
    <w:rsid w:val="0034127A"/>
    <w:rsid w:val="003412D8"/>
    <w:rsid w:val="003435A6"/>
    <w:rsid w:val="0034558D"/>
    <w:rsid w:val="0034585D"/>
    <w:rsid w:val="003506BD"/>
    <w:rsid w:val="0035150B"/>
    <w:rsid w:val="00351C8A"/>
    <w:rsid w:val="00353ABF"/>
    <w:rsid w:val="003540B4"/>
    <w:rsid w:val="003551BC"/>
    <w:rsid w:val="00356492"/>
    <w:rsid w:val="0035660A"/>
    <w:rsid w:val="003575DA"/>
    <w:rsid w:val="0036051C"/>
    <w:rsid w:val="00360D94"/>
    <w:rsid w:val="00361C4B"/>
    <w:rsid w:val="00363A42"/>
    <w:rsid w:val="00363CD6"/>
    <w:rsid w:val="00364B45"/>
    <w:rsid w:val="00365C82"/>
    <w:rsid w:val="00371344"/>
    <w:rsid w:val="0037157C"/>
    <w:rsid w:val="00373650"/>
    <w:rsid w:val="00374E83"/>
    <w:rsid w:val="0038139A"/>
    <w:rsid w:val="00387CD1"/>
    <w:rsid w:val="00390D49"/>
    <w:rsid w:val="003928E4"/>
    <w:rsid w:val="00393857"/>
    <w:rsid w:val="00394328"/>
    <w:rsid w:val="00396881"/>
    <w:rsid w:val="00397534"/>
    <w:rsid w:val="003A0285"/>
    <w:rsid w:val="003A25AE"/>
    <w:rsid w:val="003A4F62"/>
    <w:rsid w:val="003A55E2"/>
    <w:rsid w:val="003A676A"/>
    <w:rsid w:val="003B0478"/>
    <w:rsid w:val="003B0E01"/>
    <w:rsid w:val="003B15B4"/>
    <w:rsid w:val="003B54B8"/>
    <w:rsid w:val="003C0CF1"/>
    <w:rsid w:val="003C103E"/>
    <w:rsid w:val="003C135C"/>
    <w:rsid w:val="003C2E40"/>
    <w:rsid w:val="003C4FC6"/>
    <w:rsid w:val="003C50B6"/>
    <w:rsid w:val="003D1254"/>
    <w:rsid w:val="003D1B3B"/>
    <w:rsid w:val="003D1BAC"/>
    <w:rsid w:val="003D58F9"/>
    <w:rsid w:val="003E106B"/>
    <w:rsid w:val="003E259C"/>
    <w:rsid w:val="003E39A9"/>
    <w:rsid w:val="003E7301"/>
    <w:rsid w:val="003F08F0"/>
    <w:rsid w:val="003F1F36"/>
    <w:rsid w:val="003F3A4B"/>
    <w:rsid w:val="003F431A"/>
    <w:rsid w:val="003F6B3A"/>
    <w:rsid w:val="003F7B07"/>
    <w:rsid w:val="004023C8"/>
    <w:rsid w:val="0040345E"/>
    <w:rsid w:val="004034FD"/>
    <w:rsid w:val="0040569B"/>
    <w:rsid w:val="004079C1"/>
    <w:rsid w:val="00407A6E"/>
    <w:rsid w:val="004100DA"/>
    <w:rsid w:val="00410753"/>
    <w:rsid w:val="00410BCC"/>
    <w:rsid w:val="00410FE7"/>
    <w:rsid w:val="00414EE5"/>
    <w:rsid w:val="00422774"/>
    <w:rsid w:val="00426705"/>
    <w:rsid w:val="004274F5"/>
    <w:rsid w:val="00430505"/>
    <w:rsid w:val="0043163B"/>
    <w:rsid w:val="00440EA2"/>
    <w:rsid w:val="00442A6E"/>
    <w:rsid w:val="00442BDA"/>
    <w:rsid w:val="0044742F"/>
    <w:rsid w:val="00447EE9"/>
    <w:rsid w:val="00450F57"/>
    <w:rsid w:val="00453BD9"/>
    <w:rsid w:val="0045502F"/>
    <w:rsid w:val="00455FF0"/>
    <w:rsid w:val="00461705"/>
    <w:rsid w:val="00464651"/>
    <w:rsid w:val="0047316A"/>
    <w:rsid w:val="004736D9"/>
    <w:rsid w:val="00474A72"/>
    <w:rsid w:val="004779BB"/>
    <w:rsid w:val="00482420"/>
    <w:rsid w:val="00482CA6"/>
    <w:rsid w:val="00483AE0"/>
    <w:rsid w:val="00486BEE"/>
    <w:rsid w:val="0049146E"/>
    <w:rsid w:val="00491C25"/>
    <w:rsid w:val="00492053"/>
    <w:rsid w:val="004922A7"/>
    <w:rsid w:val="0049540D"/>
    <w:rsid w:val="00495A6B"/>
    <w:rsid w:val="00496005"/>
    <w:rsid w:val="00496689"/>
    <w:rsid w:val="00496984"/>
    <w:rsid w:val="0049771A"/>
    <w:rsid w:val="004A0096"/>
    <w:rsid w:val="004A0286"/>
    <w:rsid w:val="004A1AE0"/>
    <w:rsid w:val="004A20B2"/>
    <w:rsid w:val="004A2FB4"/>
    <w:rsid w:val="004A372F"/>
    <w:rsid w:val="004A3FE7"/>
    <w:rsid w:val="004A4291"/>
    <w:rsid w:val="004B3BD5"/>
    <w:rsid w:val="004B44AE"/>
    <w:rsid w:val="004B4DDB"/>
    <w:rsid w:val="004C1633"/>
    <w:rsid w:val="004C207A"/>
    <w:rsid w:val="004C3D36"/>
    <w:rsid w:val="004C56FF"/>
    <w:rsid w:val="004D5CF7"/>
    <w:rsid w:val="004D6E26"/>
    <w:rsid w:val="004F0F8B"/>
    <w:rsid w:val="004F178F"/>
    <w:rsid w:val="004F1A63"/>
    <w:rsid w:val="004F1E9B"/>
    <w:rsid w:val="005001C0"/>
    <w:rsid w:val="005013AA"/>
    <w:rsid w:val="00502A3A"/>
    <w:rsid w:val="00506B41"/>
    <w:rsid w:val="005076DD"/>
    <w:rsid w:val="0051407C"/>
    <w:rsid w:val="0051592A"/>
    <w:rsid w:val="005207D7"/>
    <w:rsid w:val="00521CC5"/>
    <w:rsid w:val="005270D1"/>
    <w:rsid w:val="005271B9"/>
    <w:rsid w:val="00527A37"/>
    <w:rsid w:val="00533891"/>
    <w:rsid w:val="005345D0"/>
    <w:rsid w:val="00535999"/>
    <w:rsid w:val="00536DAA"/>
    <w:rsid w:val="00541C32"/>
    <w:rsid w:val="00542A2B"/>
    <w:rsid w:val="005457ED"/>
    <w:rsid w:val="0054691C"/>
    <w:rsid w:val="00547F2C"/>
    <w:rsid w:val="005500A7"/>
    <w:rsid w:val="0055108F"/>
    <w:rsid w:val="00554A34"/>
    <w:rsid w:val="00560D13"/>
    <w:rsid w:val="005612E8"/>
    <w:rsid w:val="00561759"/>
    <w:rsid w:val="00562A82"/>
    <w:rsid w:val="00564724"/>
    <w:rsid w:val="00567731"/>
    <w:rsid w:val="00567D1C"/>
    <w:rsid w:val="00571307"/>
    <w:rsid w:val="00572EA5"/>
    <w:rsid w:val="00573A03"/>
    <w:rsid w:val="005743B6"/>
    <w:rsid w:val="00576C58"/>
    <w:rsid w:val="00581A84"/>
    <w:rsid w:val="00582EE9"/>
    <w:rsid w:val="00583D71"/>
    <w:rsid w:val="00585663"/>
    <w:rsid w:val="00591CEB"/>
    <w:rsid w:val="00591FED"/>
    <w:rsid w:val="00592134"/>
    <w:rsid w:val="00594E1C"/>
    <w:rsid w:val="005A740B"/>
    <w:rsid w:val="005A7435"/>
    <w:rsid w:val="005B0D45"/>
    <w:rsid w:val="005B2662"/>
    <w:rsid w:val="005B2DE5"/>
    <w:rsid w:val="005B3242"/>
    <w:rsid w:val="005B78F1"/>
    <w:rsid w:val="005C03F3"/>
    <w:rsid w:val="005C0BEF"/>
    <w:rsid w:val="005C2E1D"/>
    <w:rsid w:val="005C56CF"/>
    <w:rsid w:val="005C5DCC"/>
    <w:rsid w:val="005C7817"/>
    <w:rsid w:val="005D390F"/>
    <w:rsid w:val="005D4359"/>
    <w:rsid w:val="005D5CAF"/>
    <w:rsid w:val="005D5DEE"/>
    <w:rsid w:val="005E0223"/>
    <w:rsid w:val="005E16B8"/>
    <w:rsid w:val="005E3490"/>
    <w:rsid w:val="005E49AD"/>
    <w:rsid w:val="005E5057"/>
    <w:rsid w:val="005E63F8"/>
    <w:rsid w:val="005E65E0"/>
    <w:rsid w:val="005F0D7B"/>
    <w:rsid w:val="005F1A72"/>
    <w:rsid w:val="005F2450"/>
    <w:rsid w:val="005F2ADD"/>
    <w:rsid w:val="005F3802"/>
    <w:rsid w:val="005F3A08"/>
    <w:rsid w:val="005F3BC4"/>
    <w:rsid w:val="005F3E7A"/>
    <w:rsid w:val="005F4F59"/>
    <w:rsid w:val="00601B77"/>
    <w:rsid w:val="00602227"/>
    <w:rsid w:val="006023D5"/>
    <w:rsid w:val="00605AA7"/>
    <w:rsid w:val="006114C2"/>
    <w:rsid w:val="00612231"/>
    <w:rsid w:val="006127F0"/>
    <w:rsid w:val="006139FE"/>
    <w:rsid w:val="00615397"/>
    <w:rsid w:val="00617C2A"/>
    <w:rsid w:val="006254AF"/>
    <w:rsid w:val="006266EB"/>
    <w:rsid w:val="00626C73"/>
    <w:rsid w:val="00630759"/>
    <w:rsid w:val="00631227"/>
    <w:rsid w:val="00632817"/>
    <w:rsid w:val="00634674"/>
    <w:rsid w:val="00634703"/>
    <w:rsid w:val="00634C2C"/>
    <w:rsid w:val="00634F5B"/>
    <w:rsid w:val="00640470"/>
    <w:rsid w:val="00641F96"/>
    <w:rsid w:val="006445D4"/>
    <w:rsid w:val="006447D9"/>
    <w:rsid w:val="00646982"/>
    <w:rsid w:val="00647730"/>
    <w:rsid w:val="00650648"/>
    <w:rsid w:val="00651865"/>
    <w:rsid w:val="00651EFA"/>
    <w:rsid w:val="006550CC"/>
    <w:rsid w:val="00657455"/>
    <w:rsid w:val="006605B7"/>
    <w:rsid w:val="0066090D"/>
    <w:rsid w:val="00660D3D"/>
    <w:rsid w:val="00661575"/>
    <w:rsid w:val="0066169A"/>
    <w:rsid w:val="00661CE7"/>
    <w:rsid w:val="0066408C"/>
    <w:rsid w:val="00665B64"/>
    <w:rsid w:val="00672EE9"/>
    <w:rsid w:val="00674E7A"/>
    <w:rsid w:val="006757AC"/>
    <w:rsid w:val="00682566"/>
    <w:rsid w:val="00691A83"/>
    <w:rsid w:val="00694737"/>
    <w:rsid w:val="0069533A"/>
    <w:rsid w:val="00695CCF"/>
    <w:rsid w:val="00696AF2"/>
    <w:rsid w:val="006977B2"/>
    <w:rsid w:val="006A1E5A"/>
    <w:rsid w:val="006A1E9D"/>
    <w:rsid w:val="006A291D"/>
    <w:rsid w:val="006A356E"/>
    <w:rsid w:val="006A360B"/>
    <w:rsid w:val="006A5E06"/>
    <w:rsid w:val="006A6BFE"/>
    <w:rsid w:val="006B1456"/>
    <w:rsid w:val="006B3041"/>
    <w:rsid w:val="006B3B45"/>
    <w:rsid w:val="006B6E1F"/>
    <w:rsid w:val="006B75CA"/>
    <w:rsid w:val="006B767F"/>
    <w:rsid w:val="006C157B"/>
    <w:rsid w:val="006C36FE"/>
    <w:rsid w:val="006C752C"/>
    <w:rsid w:val="006D2DA2"/>
    <w:rsid w:val="006D45A4"/>
    <w:rsid w:val="006D4784"/>
    <w:rsid w:val="006D637E"/>
    <w:rsid w:val="006E3022"/>
    <w:rsid w:val="006E34AA"/>
    <w:rsid w:val="006E3A8E"/>
    <w:rsid w:val="006E3F67"/>
    <w:rsid w:val="006E47EF"/>
    <w:rsid w:val="006E7B92"/>
    <w:rsid w:val="006E7FDE"/>
    <w:rsid w:val="006F1CE8"/>
    <w:rsid w:val="006F6624"/>
    <w:rsid w:val="006F7EE7"/>
    <w:rsid w:val="00700464"/>
    <w:rsid w:val="00700ACF"/>
    <w:rsid w:val="007014AD"/>
    <w:rsid w:val="00702BD2"/>
    <w:rsid w:val="007055B5"/>
    <w:rsid w:val="00706253"/>
    <w:rsid w:val="00710912"/>
    <w:rsid w:val="00711AA5"/>
    <w:rsid w:val="00713EE8"/>
    <w:rsid w:val="00714DAC"/>
    <w:rsid w:val="007157B8"/>
    <w:rsid w:val="00715C6C"/>
    <w:rsid w:val="00716946"/>
    <w:rsid w:val="00724320"/>
    <w:rsid w:val="00724D8A"/>
    <w:rsid w:val="00725BB3"/>
    <w:rsid w:val="007278EF"/>
    <w:rsid w:val="00736939"/>
    <w:rsid w:val="00737031"/>
    <w:rsid w:val="00737E1C"/>
    <w:rsid w:val="007400C6"/>
    <w:rsid w:val="0074074A"/>
    <w:rsid w:val="00745815"/>
    <w:rsid w:val="00751818"/>
    <w:rsid w:val="00751998"/>
    <w:rsid w:val="0075484D"/>
    <w:rsid w:val="00756EC1"/>
    <w:rsid w:val="0075725A"/>
    <w:rsid w:val="00763CB9"/>
    <w:rsid w:val="00764DF0"/>
    <w:rsid w:val="007657C7"/>
    <w:rsid w:val="0076597C"/>
    <w:rsid w:val="007662B0"/>
    <w:rsid w:val="00766729"/>
    <w:rsid w:val="0077090B"/>
    <w:rsid w:val="007745B2"/>
    <w:rsid w:val="007764D4"/>
    <w:rsid w:val="00777034"/>
    <w:rsid w:val="0077752E"/>
    <w:rsid w:val="007813EB"/>
    <w:rsid w:val="00781CFE"/>
    <w:rsid w:val="007826B0"/>
    <w:rsid w:val="00786438"/>
    <w:rsid w:val="007873F9"/>
    <w:rsid w:val="007905F0"/>
    <w:rsid w:val="007914B4"/>
    <w:rsid w:val="00792690"/>
    <w:rsid w:val="00793BF8"/>
    <w:rsid w:val="007967D3"/>
    <w:rsid w:val="00797D48"/>
    <w:rsid w:val="007A007A"/>
    <w:rsid w:val="007A255F"/>
    <w:rsid w:val="007A3FDB"/>
    <w:rsid w:val="007A44A8"/>
    <w:rsid w:val="007A4EF2"/>
    <w:rsid w:val="007A5D45"/>
    <w:rsid w:val="007A7662"/>
    <w:rsid w:val="007B3152"/>
    <w:rsid w:val="007B41FB"/>
    <w:rsid w:val="007B555D"/>
    <w:rsid w:val="007B7FD5"/>
    <w:rsid w:val="007C1732"/>
    <w:rsid w:val="007C1C42"/>
    <w:rsid w:val="007C29F0"/>
    <w:rsid w:val="007C4E6D"/>
    <w:rsid w:val="007C59D0"/>
    <w:rsid w:val="007D0C7D"/>
    <w:rsid w:val="007D4E07"/>
    <w:rsid w:val="007D53D5"/>
    <w:rsid w:val="007E04C1"/>
    <w:rsid w:val="007E0CB8"/>
    <w:rsid w:val="007E32D9"/>
    <w:rsid w:val="007E348E"/>
    <w:rsid w:val="007E4899"/>
    <w:rsid w:val="007E6051"/>
    <w:rsid w:val="007E66D3"/>
    <w:rsid w:val="007F039D"/>
    <w:rsid w:val="007F03E1"/>
    <w:rsid w:val="007F3073"/>
    <w:rsid w:val="007F3895"/>
    <w:rsid w:val="007F4826"/>
    <w:rsid w:val="00800B01"/>
    <w:rsid w:val="00800C5C"/>
    <w:rsid w:val="008012F7"/>
    <w:rsid w:val="008027F7"/>
    <w:rsid w:val="00811AB1"/>
    <w:rsid w:val="00812426"/>
    <w:rsid w:val="00813A9F"/>
    <w:rsid w:val="00813E3E"/>
    <w:rsid w:val="00816A45"/>
    <w:rsid w:val="00817219"/>
    <w:rsid w:val="00821523"/>
    <w:rsid w:val="00821F96"/>
    <w:rsid w:val="008233EE"/>
    <w:rsid w:val="00826612"/>
    <w:rsid w:val="00827688"/>
    <w:rsid w:val="00831862"/>
    <w:rsid w:val="00832108"/>
    <w:rsid w:val="0083217D"/>
    <w:rsid w:val="008342A9"/>
    <w:rsid w:val="00840320"/>
    <w:rsid w:val="008409CB"/>
    <w:rsid w:val="00842E57"/>
    <w:rsid w:val="00842F53"/>
    <w:rsid w:val="00843617"/>
    <w:rsid w:val="0084591E"/>
    <w:rsid w:val="0084610E"/>
    <w:rsid w:val="00847550"/>
    <w:rsid w:val="00847732"/>
    <w:rsid w:val="00854695"/>
    <w:rsid w:val="00861437"/>
    <w:rsid w:val="00862494"/>
    <w:rsid w:val="00863130"/>
    <w:rsid w:val="00863AFE"/>
    <w:rsid w:val="0086421A"/>
    <w:rsid w:val="00865CA4"/>
    <w:rsid w:val="00867EA7"/>
    <w:rsid w:val="00871D29"/>
    <w:rsid w:val="008721A3"/>
    <w:rsid w:val="00875B7F"/>
    <w:rsid w:val="008772DE"/>
    <w:rsid w:val="00886B82"/>
    <w:rsid w:val="00892803"/>
    <w:rsid w:val="008934A4"/>
    <w:rsid w:val="008934EC"/>
    <w:rsid w:val="0089478F"/>
    <w:rsid w:val="008A055D"/>
    <w:rsid w:val="008A7338"/>
    <w:rsid w:val="008B0ACC"/>
    <w:rsid w:val="008B1A94"/>
    <w:rsid w:val="008B1D41"/>
    <w:rsid w:val="008B3966"/>
    <w:rsid w:val="008B632B"/>
    <w:rsid w:val="008B6E98"/>
    <w:rsid w:val="008C42C5"/>
    <w:rsid w:val="008C5131"/>
    <w:rsid w:val="008D0A26"/>
    <w:rsid w:val="008D61A3"/>
    <w:rsid w:val="008D64DA"/>
    <w:rsid w:val="008D79BA"/>
    <w:rsid w:val="008E2AC6"/>
    <w:rsid w:val="008E5323"/>
    <w:rsid w:val="008E75F8"/>
    <w:rsid w:val="008E79DE"/>
    <w:rsid w:val="008E7B57"/>
    <w:rsid w:val="008F3573"/>
    <w:rsid w:val="008F420B"/>
    <w:rsid w:val="008F6978"/>
    <w:rsid w:val="008F7666"/>
    <w:rsid w:val="008F7A4D"/>
    <w:rsid w:val="00901B91"/>
    <w:rsid w:val="0090604D"/>
    <w:rsid w:val="009075F1"/>
    <w:rsid w:val="00910FCF"/>
    <w:rsid w:val="0091145D"/>
    <w:rsid w:val="00912326"/>
    <w:rsid w:val="00921AE3"/>
    <w:rsid w:val="00923E83"/>
    <w:rsid w:val="009268E6"/>
    <w:rsid w:val="009314F2"/>
    <w:rsid w:val="009351F5"/>
    <w:rsid w:val="009457C1"/>
    <w:rsid w:val="00945D5F"/>
    <w:rsid w:val="00946870"/>
    <w:rsid w:val="00946F41"/>
    <w:rsid w:val="00950533"/>
    <w:rsid w:val="009508CD"/>
    <w:rsid w:val="009520EA"/>
    <w:rsid w:val="00952426"/>
    <w:rsid w:val="00952B46"/>
    <w:rsid w:val="0095312F"/>
    <w:rsid w:val="009560D4"/>
    <w:rsid w:val="00956145"/>
    <w:rsid w:val="009561B1"/>
    <w:rsid w:val="00956C76"/>
    <w:rsid w:val="00957FF9"/>
    <w:rsid w:val="0096133F"/>
    <w:rsid w:val="00967D35"/>
    <w:rsid w:val="00971222"/>
    <w:rsid w:val="00973DC7"/>
    <w:rsid w:val="00974D70"/>
    <w:rsid w:val="0097608C"/>
    <w:rsid w:val="00982BB4"/>
    <w:rsid w:val="00982C56"/>
    <w:rsid w:val="00986347"/>
    <w:rsid w:val="0098652D"/>
    <w:rsid w:val="00992AF9"/>
    <w:rsid w:val="00992E3B"/>
    <w:rsid w:val="009A0161"/>
    <w:rsid w:val="009A080C"/>
    <w:rsid w:val="009A1D0C"/>
    <w:rsid w:val="009A4CAB"/>
    <w:rsid w:val="009A6884"/>
    <w:rsid w:val="009B0684"/>
    <w:rsid w:val="009B38EF"/>
    <w:rsid w:val="009B45AB"/>
    <w:rsid w:val="009B52DA"/>
    <w:rsid w:val="009B637E"/>
    <w:rsid w:val="009C7147"/>
    <w:rsid w:val="009D0689"/>
    <w:rsid w:val="009D0DC9"/>
    <w:rsid w:val="009D1AF4"/>
    <w:rsid w:val="009D1FD4"/>
    <w:rsid w:val="009D2997"/>
    <w:rsid w:val="009D4E13"/>
    <w:rsid w:val="009D6AB9"/>
    <w:rsid w:val="009E0027"/>
    <w:rsid w:val="009E0281"/>
    <w:rsid w:val="009E147E"/>
    <w:rsid w:val="009E1C24"/>
    <w:rsid w:val="009E44E1"/>
    <w:rsid w:val="009E5890"/>
    <w:rsid w:val="009E5911"/>
    <w:rsid w:val="009F2FE9"/>
    <w:rsid w:val="009F4C43"/>
    <w:rsid w:val="009F5210"/>
    <w:rsid w:val="009F69D8"/>
    <w:rsid w:val="00A0122C"/>
    <w:rsid w:val="00A02709"/>
    <w:rsid w:val="00A02940"/>
    <w:rsid w:val="00A07BE1"/>
    <w:rsid w:val="00A143C0"/>
    <w:rsid w:val="00A14BFE"/>
    <w:rsid w:val="00A1552E"/>
    <w:rsid w:val="00A15BA9"/>
    <w:rsid w:val="00A1680D"/>
    <w:rsid w:val="00A16C31"/>
    <w:rsid w:val="00A21384"/>
    <w:rsid w:val="00A218F1"/>
    <w:rsid w:val="00A2655E"/>
    <w:rsid w:val="00A2774C"/>
    <w:rsid w:val="00A30B21"/>
    <w:rsid w:val="00A329CE"/>
    <w:rsid w:val="00A34687"/>
    <w:rsid w:val="00A3581B"/>
    <w:rsid w:val="00A37D0F"/>
    <w:rsid w:val="00A408CA"/>
    <w:rsid w:val="00A42EBF"/>
    <w:rsid w:val="00A44B97"/>
    <w:rsid w:val="00A46BE5"/>
    <w:rsid w:val="00A476CC"/>
    <w:rsid w:val="00A51381"/>
    <w:rsid w:val="00A5487A"/>
    <w:rsid w:val="00A556D2"/>
    <w:rsid w:val="00A57253"/>
    <w:rsid w:val="00A63507"/>
    <w:rsid w:val="00A63FF1"/>
    <w:rsid w:val="00A6584C"/>
    <w:rsid w:val="00A65CA9"/>
    <w:rsid w:val="00A7173E"/>
    <w:rsid w:val="00A71D8D"/>
    <w:rsid w:val="00A73674"/>
    <w:rsid w:val="00A769D6"/>
    <w:rsid w:val="00A76A52"/>
    <w:rsid w:val="00A77253"/>
    <w:rsid w:val="00A80939"/>
    <w:rsid w:val="00A81292"/>
    <w:rsid w:val="00A8139F"/>
    <w:rsid w:val="00A873E9"/>
    <w:rsid w:val="00A902DA"/>
    <w:rsid w:val="00A90CE9"/>
    <w:rsid w:val="00A9564D"/>
    <w:rsid w:val="00A96517"/>
    <w:rsid w:val="00A97375"/>
    <w:rsid w:val="00AA03E1"/>
    <w:rsid w:val="00AA11BF"/>
    <w:rsid w:val="00AA4AB8"/>
    <w:rsid w:val="00AA503E"/>
    <w:rsid w:val="00AA66CB"/>
    <w:rsid w:val="00AA67FC"/>
    <w:rsid w:val="00AA7D10"/>
    <w:rsid w:val="00AB004F"/>
    <w:rsid w:val="00AB30C3"/>
    <w:rsid w:val="00AB3645"/>
    <w:rsid w:val="00AB5B22"/>
    <w:rsid w:val="00AB5CC5"/>
    <w:rsid w:val="00AB6FB2"/>
    <w:rsid w:val="00AB7A60"/>
    <w:rsid w:val="00AC186B"/>
    <w:rsid w:val="00AC32F4"/>
    <w:rsid w:val="00AC61FB"/>
    <w:rsid w:val="00AD4F9F"/>
    <w:rsid w:val="00AD6210"/>
    <w:rsid w:val="00AD755E"/>
    <w:rsid w:val="00AD7967"/>
    <w:rsid w:val="00AE0F4F"/>
    <w:rsid w:val="00AE116F"/>
    <w:rsid w:val="00AE2932"/>
    <w:rsid w:val="00AE422D"/>
    <w:rsid w:val="00AE79AF"/>
    <w:rsid w:val="00AF0593"/>
    <w:rsid w:val="00AF0A7F"/>
    <w:rsid w:val="00AF193D"/>
    <w:rsid w:val="00AF62CD"/>
    <w:rsid w:val="00B007F3"/>
    <w:rsid w:val="00B01558"/>
    <w:rsid w:val="00B06A68"/>
    <w:rsid w:val="00B07864"/>
    <w:rsid w:val="00B13CD4"/>
    <w:rsid w:val="00B149A8"/>
    <w:rsid w:val="00B14C9C"/>
    <w:rsid w:val="00B15422"/>
    <w:rsid w:val="00B16879"/>
    <w:rsid w:val="00B20A7C"/>
    <w:rsid w:val="00B2160E"/>
    <w:rsid w:val="00B2196D"/>
    <w:rsid w:val="00B223A1"/>
    <w:rsid w:val="00B23B9E"/>
    <w:rsid w:val="00B246CB"/>
    <w:rsid w:val="00B251F9"/>
    <w:rsid w:val="00B3026E"/>
    <w:rsid w:val="00B3611C"/>
    <w:rsid w:val="00B36F88"/>
    <w:rsid w:val="00B40784"/>
    <w:rsid w:val="00B409C1"/>
    <w:rsid w:val="00B419FD"/>
    <w:rsid w:val="00B41DE7"/>
    <w:rsid w:val="00B4515F"/>
    <w:rsid w:val="00B516CD"/>
    <w:rsid w:val="00B52D0A"/>
    <w:rsid w:val="00B55D26"/>
    <w:rsid w:val="00B56478"/>
    <w:rsid w:val="00B607C0"/>
    <w:rsid w:val="00B66E06"/>
    <w:rsid w:val="00B67BF4"/>
    <w:rsid w:val="00B72938"/>
    <w:rsid w:val="00B750BA"/>
    <w:rsid w:val="00B77FF5"/>
    <w:rsid w:val="00B80EC1"/>
    <w:rsid w:val="00B810EF"/>
    <w:rsid w:val="00B8135B"/>
    <w:rsid w:val="00B81796"/>
    <w:rsid w:val="00B87315"/>
    <w:rsid w:val="00B94963"/>
    <w:rsid w:val="00B94E52"/>
    <w:rsid w:val="00B95CBB"/>
    <w:rsid w:val="00B972CB"/>
    <w:rsid w:val="00B97930"/>
    <w:rsid w:val="00B97B23"/>
    <w:rsid w:val="00BA0631"/>
    <w:rsid w:val="00BA2D7E"/>
    <w:rsid w:val="00BA4954"/>
    <w:rsid w:val="00BB0784"/>
    <w:rsid w:val="00BB0C8E"/>
    <w:rsid w:val="00BB5ED6"/>
    <w:rsid w:val="00BB6362"/>
    <w:rsid w:val="00BB67A5"/>
    <w:rsid w:val="00BC4CEE"/>
    <w:rsid w:val="00BC60D5"/>
    <w:rsid w:val="00BC6C4F"/>
    <w:rsid w:val="00BC6D30"/>
    <w:rsid w:val="00BC7F67"/>
    <w:rsid w:val="00BD0624"/>
    <w:rsid w:val="00BD2405"/>
    <w:rsid w:val="00BD7132"/>
    <w:rsid w:val="00BD7A02"/>
    <w:rsid w:val="00BE0A87"/>
    <w:rsid w:val="00BE27E1"/>
    <w:rsid w:val="00BE2A77"/>
    <w:rsid w:val="00BE30FD"/>
    <w:rsid w:val="00BE5CCE"/>
    <w:rsid w:val="00BE7D2A"/>
    <w:rsid w:val="00BF0681"/>
    <w:rsid w:val="00BF08BE"/>
    <w:rsid w:val="00BF308A"/>
    <w:rsid w:val="00BF4517"/>
    <w:rsid w:val="00BF52F7"/>
    <w:rsid w:val="00BF7656"/>
    <w:rsid w:val="00BF78F5"/>
    <w:rsid w:val="00C01601"/>
    <w:rsid w:val="00C0237C"/>
    <w:rsid w:val="00C02DD2"/>
    <w:rsid w:val="00C03B02"/>
    <w:rsid w:val="00C03FB0"/>
    <w:rsid w:val="00C03FD8"/>
    <w:rsid w:val="00C0490F"/>
    <w:rsid w:val="00C05051"/>
    <w:rsid w:val="00C050B3"/>
    <w:rsid w:val="00C05B26"/>
    <w:rsid w:val="00C05C42"/>
    <w:rsid w:val="00C060B6"/>
    <w:rsid w:val="00C06522"/>
    <w:rsid w:val="00C128C7"/>
    <w:rsid w:val="00C13F85"/>
    <w:rsid w:val="00C148CF"/>
    <w:rsid w:val="00C202C1"/>
    <w:rsid w:val="00C23C90"/>
    <w:rsid w:val="00C24280"/>
    <w:rsid w:val="00C247BD"/>
    <w:rsid w:val="00C24D0A"/>
    <w:rsid w:val="00C25291"/>
    <w:rsid w:val="00C25FA9"/>
    <w:rsid w:val="00C268B1"/>
    <w:rsid w:val="00C26B29"/>
    <w:rsid w:val="00C26EF6"/>
    <w:rsid w:val="00C3015A"/>
    <w:rsid w:val="00C32015"/>
    <w:rsid w:val="00C33BEB"/>
    <w:rsid w:val="00C35C67"/>
    <w:rsid w:val="00C35E74"/>
    <w:rsid w:val="00C36809"/>
    <w:rsid w:val="00C405BF"/>
    <w:rsid w:val="00C40CD2"/>
    <w:rsid w:val="00C40FE5"/>
    <w:rsid w:val="00C45DB1"/>
    <w:rsid w:val="00C45F9F"/>
    <w:rsid w:val="00C50859"/>
    <w:rsid w:val="00C51DF8"/>
    <w:rsid w:val="00C51FDD"/>
    <w:rsid w:val="00C521CA"/>
    <w:rsid w:val="00C52B3E"/>
    <w:rsid w:val="00C54992"/>
    <w:rsid w:val="00C563EA"/>
    <w:rsid w:val="00C56CCD"/>
    <w:rsid w:val="00C57F71"/>
    <w:rsid w:val="00C6085C"/>
    <w:rsid w:val="00C60915"/>
    <w:rsid w:val="00C62446"/>
    <w:rsid w:val="00C64222"/>
    <w:rsid w:val="00C65E5F"/>
    <w:rsid w:val="00C668D9"/>
    <w:rsid w:val="00C66C36"/>
    <w:rsid w:val="00C73D83"/>
    <w:rsid w:val="00C7417C"/>
    <w:rsid w:val="00C7497F"/>
    <w:rsid w:val="00C76A85"/>
    <w:rsid w:val="00C80415"/>
    <w:rsid w:val="00C81E4D"/>
    <w:rsid w:val="00C825EE"/>
    <w:rsid w:val="00C82CBD"/>
    <w:rsid w:val="00C82EE5"/>
    <w:rsid w:val="00C83CB7"/>
    <w:rsid w:val="00C842B7"/>
    <w:rsid w:val="00C84373"/>
    <w:rsid w:val="00C860A5"/>
    <w:rsid w:val="00C863D6"/>
    <w:rsid w:val="00C9181D"/>
    <w:rsid w:val="00C92213"/>
    <w:rsid w:val="00C92605"/>
    <w:rsid w:val="00C948E5"/>
    <w:rsid w:val="00C952D3"/>
    <w:rsid w:val="00CA354F"/>
    <w:rsid w:val="00CA4730"/>
    <w:rsid w:val="00CA4802"/>
    <w:rsid w:val="00CA521E"/>
    <w:rsid w:val="00CA7DAC"/>
    <w:rsid w:val="00CB0861"/>
    <w:rsid w:val="00CB17A5"/>
    <w:rsid w:val="00CC0200"/>
    <w:rsid w:val="00CC0E6A"/>
    <w:rsid w:val="00CC1250"/>
    <w:rsid w:val="00CD116D"/>
    <w:rsid w:val="00CD2D51"/>
    <w:rsid w:val="00CD5BF9"/>
    <w:rsid w:val="00CD7316"/>
    <w:rsid w:val="00CE19F6"/>
    <w:rsid w:val="00CE3BFA"/>
    <w:rsid w:val="00CE77FD"/>
    <w:rsid w:val="00CF1CA5"/>
    <w:rsid w:val="00D00E5D"/>
    <w:rsid w:val="00D02C8A"/>
    <w:rsid w:val="00D05F6C"/>
    <w:rsid w:val="00D07028"/>
    <w:rsid w:val="00D079BF"/>
    <w:rsid w:val="00D128F8"/>
    <w:rsid w:val="00D14F46"/>
    <w:rsid w:val="00D16793"/>
    <w:rsid w:val="00D22021"/>
    <w:rsid w:val="00D220F5"/>
    <w:rsid w:val="00D23219"/>
    <w:rsid w:val="00D23B47"/>
    <w:rsid w:val="00D25357"/>
    <w:rsid w:val="00D259DA"/>
    <w:rsid w:val="00D337BC"/>
    <w:rsid w:val="00D35495"/>
    <w:rsid w:val="00D36159"/>
    <w:rsid w:val="00D4116E"/>
    <w:rsid w:val="00D411BC"/>
    <w:rsid w:val="00D419B0"/>
    <w:rsid w:val="00D43778"/>
    <w:rsid w:val="00D455A1"/>
    <w:rsid w:val="00D473DE"/>
    <w:rsid w:val="00D50BAC"/>
    <w:rsid w:val="00D52E51"/>
    <w:rsid w:val="00D5656B"/>
    <w:rsid w:val="00D601DB"/>
    <w:rsid w:val="00D608A4"/>
    <w:rsid w:val="00D60E61"/>
    <w:rsid w:val="00D6226D"/>
    <w:rsid w:val="00D62B1C"/>
    <w:rsid w:val="00D6372B"/>
    <w:rsid w:val="00D63AC0"/>
    <w:rsid w:val="00D643A9"/>
    <w:rsid w:val="00D71663"/>
    <w:rsid w:val="00D72CAC"/>
    <w:rsid w:val="00D736F6"/>
    <w:rsid w:val="00D7375F"/>
    <w:rsid w:val="00D75F78"/>
    <w:rsid w:val="00D7744A"/>
    <w:rsid w:val="00D77693"/>
    <w:rsid w:val="00D809AA"/>
    <w:rsid w:val="00D809E2"/>
    <w:rsid w:val="00D819BF"/>
    <w:rsid w:val="00D819DC"/>
    <w:rsid w:val="00D8243A"/>
    <w:rsid w:val="00D82E44"/>
    <w:rsid w:val="00D82F9E"/>
    <w:rsid w:val="00D84382"/>
    <w:rsid w:val="00D84604"/>
    <w:rsid w:val="00D86907"/>
    <w:rsid w:val="00D87242"/>
    <w:rsid w:val="00D87FE3"/>
    <w:rsid w:val="00D9555C"/>
    <w:rsid w:val="00D95BCE"/>
    <w:rsid w:val="00D9666E"/>
    <w:rsid w:val="00D96F55"/>
    <w:rsid w:val="00DB248E"/>
    <w:rsid w:val="00DB43FB"/>
    <w:rsid w:val="00DB771D"/>
    <w:rsid w:val="00DC1DF8"/>
    <w:rsid w:val="00DC2BD7"/>
    <w:rsid w:val="00DD08C0"/>
    <w:rsid w:val="00DD2357"/>
    <w:rsid w:val="00DD43C7"/>
    <w:rsid w:val="00DD4F05"/>
    <w:rsid w:val="00DD66BF"/>
    <w:rsid w:val="00DE040D"/>
    <w:rsid w:val="00DE12B7"/>
    <w:rsid w:val="00DE4010"/>
    <w:rsid w:val="00DE6EE1"/>
    <w:rsid w:val="00DE7A52"/>
    <w:rsid w:val="00DE7FA3"/>
    <w:rsid w:val="00DF08EA"/>
    <w:rsid w:val="00DF2894"/>
    <w:rsid w:val="00DF3920"/>
    <w:rsid w:val="00DF4AB9"/>
    <w:rsid w:val="00E01798"/>
    <w:rsid w:val="00E02054"/>
    <w:rsid w:val="00E06B6E"/>
    <w:rsid w:val="00E120B8"/>
    <w:rsid w:val="00E14876"/>
    <w:rsid w:val="00E23353"/>
    <w:rsid w:val="00E30D46"/>
    <w:rsid w:val="00E34093"/>
    <w:rsid w:val="00E344E1"/>
    <w:rsid w:val="00E347B5"/>
    <w:rsid w:val="00E35760"/>
    <w:rsid w:val="00E35A44"/>
    <w:rsid w:val="00E36494"/>
    <w:rsid w:val="00E37F89"/>
    <w:rsid w:val="00E41FFC"/>
    <w:rsid w:val="00E42123"/>
    <w:rsid w:val="00E435A4"/>
    <w:rsid w:val="00E43956"/>
    <w:rsid w:val="00E43F6F"/>
    <w:rsid w:val="00E44AA4"/>
    <w:rsid w:val="00E51CD9"/>
    <w:rsid w:val="00E52A42"/>
    <w:rsid w:val="00E5302F"/>
    <w:rsid w:val="00E53D10"/>
    <w:rsid w:val="00E561F0"/>
    <w:rsid w:val="00E575CC"/>
    <w:rsid w:val="00E613AF"/>
    <w:rsid w:val="00E67980"/>
    <w:rsid w:val="00E73926"/>
    <w:rsid w:val="00E73945"/>
    <w:rsid w:val="00E80566"/>
    <w:rsid w:val="00E85720"/>
    <w:rsid w:val="00E87D5F"/>
    <w:rsid w:val="00E90ECE"/>
    <w:rsid w:val="00E90FE7"/>
    <w:rsid w:val="00E92E37"/>
    <w:rsid w:val="00E93417"/>
    <w:rsid w:val="00E93E2E"/>
    <w:rsid w:val="00E957F1"/>
    <w:rsid w:val="00EA0D1A"/>
    <w:rsid w:val="00EA12D0"/>
    <w:rsid w:val="00EA293E"/>
    <w:rsid w:val="00EA3588"/>
    <w:rsid w:val="00EA38F5"/>
    <w:rsid w:val="00EA3922"/>
    <w:rsid w:val="00EA5B01"/>
    <w:rsid w:val="00EA69A7"/>
    <w:rsid w:val="00EA72DF"/>
    <w:rsid w:val="00EB2505"/>
    <w:rsid w:val="00EB310A"/>
    <w:rsid w:val="00EB498C"/>
    <w:rsid w:val="00EB5CE6"/>
    <w:rsid w:val="00EC183B"/>
    <w:rsid w:val="00EC27C3"/>
    <w:rsid w:val="00EC4770"/>
    <w:rsid w:val="00EC6E47"/>
    <w:rsid w:val="00ED006A"/>
    <w:rsid w:val="00ED1783"/>
    <w:rsid w:val="00ED23E3"/>
    <w:rsid w:val="00ED634D"/>
    <w:rsid w:val="00EE1B6B"/>
    <w:rsid w:val="00EE472D"/>
    <w:rsid w:val="00EF2BA4"/>
    <w:rsid w:val="00EF477A"/>
    <w:rsid w:val="00EF5D9C"/>
    <w:rsid w:val="00F0057E"/>
    <w:rsid w:val="00F011BC"/>
    <w:rsid w:val="00F0634A"/>
    <w:rsid w:val="00F11EEE"/>
    <w:rsid w:val="00F12ADD"/>
    <w:rsid w:val="00F136A9"/>
    <w:rsid w:val="00F13E65"/>
    <w:rsid w:val="00F14A76"/>
    <w:rsid w:val="00F165AD"/>
    <w:rsid w:val="00F17EBF"/>
    <w:rsid w:val="00F20C18"/>
    <w:rsid w:val="00F220B5"/>
    <w:rsid w:val="00F22AEB"/>
    <w:rsid w:val="00F231A5"/>
    <w:rsid w:val="00F24B61"/>
    <w:rsid w:val="00F25886"/>
    <w:rsid w:val="00F25DFD"/>
    <w:rsid w:val="00F2735A"/>
    <w:rsid w:val="00F279AE"/>
    <w:rsid w:val="00F30EFC"/>
    <w:rsid w:val="00F3320F"/>
    <w:rsid w:val="00F34F4A"/>
    <w:rsid w:val="00F37F79"/>
    <w:rsid w:val="00F41477"/>
    <w:rsid w:val="00F44346"/>
    <w:rsid w:val="00F47497"/>
    <w:rsid w:val="00F50EE1"/>
    <w:rsid w:val="00F520AE"/>
    <w:rsid w:val="00F551D8"/>
    <w:rsid w:val="00F55926"/>
    <w:rsid w:val="00F56DCF"/>
    <w:rsid w:val="00F57F30"/>
    <w:rsid w:val="00F607FF"/>
    <w:rsid w:val="00F60B21"/>
    <w:rsid w:val="00F61E3A"/>
    <w:rsid w:val="00F6496B"/>
    <w:rsid w:val="00F65772"/>
    <w:rsid w:val="00F672A1"/>
    <w:rsid w:val="00F67CF9"/>
    <w:rsid w:val="00F70555"/>
    <w:rsid w:val="00F709EB"/>
    <w:rsid w:val="00F73AD0"/>
    <w:rsid w:val="00F74AE4"/>
    <w:rsid w:val="00F7566C"/>
    <w:rsid w:val="00F84AD0"/>
    <w:rsid w:val="00F8602A"/>
    <w:rsid w:val="00F862E5"/>
    <w:rsid w:val="00F87D94"/>
    <w:rsid w:val="00F90C29"/>
    <w:rsid w:val="00F928D2"/>
    <w:rsid w:val="00F92ABE"/>
    <w:rsid w:val="00F944F3"/>
    <w:rsid w:val="00F94AE3"/>
    <w:rsid w:val="00F95B7F"/>
    <w:rsid w:val="00FA0968"/>
    <w:rsid w:val="00FA0B6B"/>
    <w:rsid w:val="00FA2460"/>
    <w:rsid w:val="00FA5AB6"/>
    <w:rsid w:val="00FA7655"/>
    <w:rsid w:val="00FA7CD0"/>
    <w:rsid w:val="00FB0DCF"/>
    <w:rsid w:val="00FB10AD"/>
    <w:rsid w:val="00FB26C5"/>
    <w:rsid w:val="00FB2C49"/>
    <w:rsid w:val="00FB47AA"/>
    <w:rsid w:val="00FC1242"/>
    <w:rsid w:val="00FC1D53"/>
    <w:rsid w:val="00FC3505"/>
    <w:rsid w:val="00FC500D"/>
    <w:rsid w:val="00FC5517"/>
    <w:rsid w:val="00FC599E"/>
    <w:rsid w:val="00FC77E1"/>
    <w:rsid w:val="00FD3446"/>
    <w:rsid w:val="00FD586A"/>
    <w:rsid w:val="00FD5A53"/>
    <w:rsid w:val="00FD619B"/>
    <w:rsid w:val="00FD6918"/>
    <w:rsid w:val="00FD6ABF"/>
    <w:rsid w:val="00FE013E"/>
    <w:rsid w:val="00FE0862"/>
    <w:rsid w:val="00FE128A"/>
    <w:rsid w:val="00FE2F01"/>
    <w:rsid w:val="00FE3C1E"/>
    <w:rsid w:val="00FE6017"/>
    <w:rsid w:val="00FE66F0"/>
    <w:rsid w:val="00FE6CB7"/>
    <w:rsid w:val="00FE7C4F"/>
    <w:rsid w:val="00FF4A9F"/>
    <w:rsid w:val="00FF66A1"/>
    <w:rsid w:val="00FF70F9"/>
    <w:rsid w:val="00FF7439"/>
    <w:rsid w:val="012113A1"/>
    <w:rsid w:val="01290B5F"/>
    <w:rsid w:val="01643594"/>
    <w:rsid w:val="01DC05B9"/>
    <w:rsid w:val="03AA3AD1"/>
    <w:rsid w:val="03B81428"/>
    <w:rsid w:val="03C661BF"/>
    <w:rsid w:val="044B31B3"/>
    <w:rsid w:val="046D4074"/>
    <w:rsid w:val="053664D2"/>
    <w:rsid w:val="05CF448F"/>
    <w:rsid w:val="068C5A4E"/>
    <w:rsid w:val="069D376A"/>
    <w:rsid w:val="06D62B32"/>
    <w:rsid w:val="06DA29D6"/>
    <w:rsid w:val="07A55890"/>
    <w:rsid w:val="08744BDF"/>
    <w:rsid w:val="088C773B"/>
    <w:rsid w:val="08DB0795"/>
    <w:rsid w:val="096B4801"/>
    <w:rsid w:val="0A2534E4"/>
    <w:rsid w:val="0A411361"/>
    <w:rsid w:val="0AB670E0"/>
    <w:rsid w:val="0AC82A8A"/>
    <w:rsid w:val="0C941E37"/>
    <w:rsid w:val="0D215B97"/>
    <w:rsid w:val="0D2A52AB"/>
    <w:rsid w:val="0D814CB6"/>
    <w:rsid w:val="0E2E66B1"/>
    <w:rsid w:val="0E79500E"/>
    <w:rsid w:val="0EA362F8"/>
    <w:rsid w:val="0FB31A48"/>
    <w:rsid w:val="10DD7F3C"/>
    <w:rsid w:val="12615EEC"/>
    <w:rsid w:val="149C09CD"/>
    <w:rsid w:val="14D45825"/>
    <w:rsid w:val="15B81234"/>
    <w:rsid w:val="168953B9"/>
    <w:rsid w:val="16CE2F2A"/>
    <w:rsid w:val="16D87639"/>
    <w:rsid w:val="17415A5F"/>
    <w:rsid w:val="178E4B60"/>
    <w:rsid w:val="17C608AB"/>
    <w:rsid w:val="18491552"/>
    <w:rsid w:val="199F5196"/>
    <w:rsid w:val="19D40431"/>
    <w:rsid w:val="19D50D62"/>
    <w:rsid w:val="19E145B1"/>
    <w:rsid w:val="1A605254"/>
    <w:rsid w:val="1A687302"/>
    <w:rsid w:val="1A96572E"/>
    <w:rsid w:val="1AAB65CD"/>
    <w:rsid w:val="1AE53344"/>
    <w:rsid w:val="1AFC3866"/>
    <w:rsid w:val="1B3D6C6A"/>
    <w:rsid w:val="1B6D61FD"/>
    <w:rsid w:val="1B816347"/>
    <w:rsid w:val="1BE1444C"/>
    <w:rsid w:val="1CBA0269"/>
    <w:rsid w:val="1CEC0CB0"/>
    <w:rsid w:val="1D172E7D"/>
    <w:rsid w:val="1D9606A9"/>
    <w:rsid w:val="1E4A427C"/>
    <w:rsid w:val="1E5209CD"/>
    <w:rsid w:val="1E6157F8"/>
    <w:rsid w:val="1E940E14"/>
    <w:rsid w:val="1F477FE0"/>
    <w:rsid w:val="1F787DF7"/>
    <w:rsid w:val="1FB66A7E"/>
    <w:rsid w:val="214916A5"/>
    <w:rsid w:val="2198237F"/>
    <w:rsid w:val="21D434A9"/>
    <w:rsid w:val="23524C51"/>
    <w:rsid w:val="2509234F"/>
    <w:rsid w:val="25377C0E"/>
    <w:rsid w:val="25701134"/>
    <w:rsid w:val="25F50329"/>
    <w:rsid w:val="269E65F0"/>
    <w:rsid w:val="26D1773D"/>
    <w:rsid w:val="26F15A73"/>
    <w:rsid w:val="2752123F"/>
    <w:rsid w:val="27C94452"/>
    <w:rsid w:val="280A220B"/>
    <w:rsid w:val="28634650"/>
    <w:rsid w:val="2AA76E09"/>
    <w:rsid w:val="2AB44291"/>
    <w:rsid w:val="2B3067FE"/>
    <w:rsid w:val="2BCB5711"/>
    <w:rsid w:val="2C2533F6"/>
    <w:rsid w:val="2E3D56EB"/>
    <w:rsid w:val="2E8C26EF"/>
    <w:rsid w:val="2ECF2A5B"/>
    <w:rsid w:val="2F414F6C"/>
    <w:rsid w:val="2F9D33AB"/>
    <w:rsid w:val="30160EC9"/>
    <w:rsid w:val="31345AA8"/>
    <w:rsid w:val="313C4D53"/>
    <w:rsid w:val="3143088F"/>
    <w:rsid w:val="318925F1"/>
    <w:rsid w:val="31D33FCD"/>
    <w:rsid w:val="324D7A61"/>
    <w:rsid w:val="32756156"/>
    <w:rsid w:val="33322CB5"/>
    <w:rsid w:val="33621FD8"/>
    <w:rsid w:val="33D13C53"/>
    <w:rsid w:val="34397F43"/>
    <w:rsid w:val="3469799E"/>
    <w:rsid w:val="354B4AC5"/>
    <w:rsid w:val="358B123F"/>
    <w:rsid w:val="36106CCE"/>
    <w:rsid w:val="36286165"/>
    <w:rsid w:val="367365E5"/>
    <w:rsid w:val="3762052A"/>
    <w:rsid w:val="37EF4C31"/>
    <w:rsid w:val="380534F8"/>
    <w:rsid w:val="386D765C"/>
    <w:rsid w:val="38D4653C"/>
    <w:rsid w:val="38ED0848"/>
    <w:rsid w:val="38F378FE"/>
    <w:rsid w:val="38FD240B"/>
    <w:rsid w:val="39EF4337"/>
    <w:rsid w:val="39F63CA8"/>
    <w:rsid w:val="3A300A5B"/>
    <w:rsid w:val="3A605479"/>
    <w:rsid w:val="3A7B60FF"/>
    <w:rsid w:val="3AE138A5"/>
    <w:rsid w:val="3B107592"/>
    <w:rsid w:val="3B1742C2"/>
    <w:rsid w:val="3BA04303"/>
    <w:rsid w:val="3BCE1204"/>
    <w:rsid w:val="3BE07296"/>
    <w:rsid w:val="3BE86656"/>
    <w:rsid w:val="3C425742"/>
    <w:rsid w:val="3C757DE0"/>
    <w:rsid w:val="3D3056F4"/>
    <w:rsid w:val="3D3D1E89"/>
    <w:rsid w:val="3D8C6D07"/>
    <w:rsid w:val="3E625A9F"/>
    <w:rsid w:val="3EAE3753"/>
    <w:rsid w:val="401D3FE7"/>
    <w:rsid w:val="403E18C5"/>
    <w:rsid w:val="40921123"/>
    <w:rsid w:val="41325883"/>
    <w:rsid w:val="415542F6"/>
    <w:rsid w:val="418E1A0A"/>
    <w:rsid w:val="41933324"/>
    <w:rsid w:val="41D02F78"/>
    <w:rsid w:val="422E4822"/>
    <w:rsid w:val="43746DC8"/>
    <w:rsid w:val="4426525B"/>
    <w:rsid w:val="450F0DD5"/>
    <w:rsid w:val="45722772"/>
    <w:rsid w:val="461509EA"/>
    <w:rsid w:val="465D5881"/>
    <w:rsid w:val="46A32772"/>
    <w:rsid w:val="47087B2F"/>
    <w:rsid w:val="47CD5D58"/>
    <w:rsid w:val="48F1583A"/>
    <w:rsid w:val="490B77F2"/>
    <w:rsid w:val="4A0147BC"/>
    <w:rsid w:val="4A2E1237"/>
    <w:rsid w:val="4A5B313C"/>
    <w:rsid w:val="4AB85B7D"/>
    <w:rsid w:val="4BC32F2E"/>
    <w:rsid w:val="4CAA257D"/>
    <w:rsid w:val="4D70110C"/>
    <w:rsid w:val="4EAF1971"/>
    <w:rsid w:val="4EB6130D"/>
    <w:rsid w:val="4EB63797"/>
    <w:rsid w:val="4EE165F7"/>
    <w:rsid w:val="4F3D590F"/>
    <w:rsid w:val="5022010F"/>
    <w:rsid w:val="504D0FCF"/>
    <w:rsid w:val="50A26B4D"/>
    <w:rsid w:val="50E165D0"/>
    <w:rsid w:val="51147AF4"/>
    <w:rsid w:val="513F74EB"/>
    <w:rsid w:val="52B1784C"/>
    <w:rsid w:val="536C0166"/>
    <w:rsid w:val="53AF28DA"/>
    <w:rsid w:val="53B87967"/>
    <w:rsid w:val="54637884"/>
    <w:rsid w:val="54A878F1"/>
    <w:rsid w:val="557742C5"/>
    <w:rsid w:val="55B15523"/>
    <w:rsid w:val="55D469AE"/>
    <w:rsid w:val="55D65D2D"/>
    <w:rsid w:val="56057674"/>
    <w:rsid w:val="560662B2"/>
    <w:rsid w:val="568A6B97"/>
    <w:rsid w:val="57AC71FA"/>
    <w:rsid w:val="57BB584F"/>
    <w:rsid w:val="583446F2"/>
    <w:rsid w:val="58BD5526"/>
    <w:rsid w:val="58F73E76"/>
    <w:rsid w:val="591D6A8D"/>
    <w:rsid w:val="59560BBB"/>
    <w:rsid w:val="59DE0E81"/>
    <w:rsid w:val="59F93569"/>
    <w:rsid w:val="5AB422C7"/>
    <w:rsid w:val="5AC24977"/>
    <w:rsid w:val="5B2D628C"/>
    <w:rsid w:val="5BC1004E"/>
    <w:rsid w:val="5D462D98"/>
    <w:rsid w:val="5D9F27A5"/>
    <w:rsid w:val="5E1E4379"/>
    <w:rsid w:val="5E66256E"/>
    <w:rsid w:val="5E922DE0"/>
    <w:rsid w:val="5EE65B3E"/>
    <w:rsid w:val="5EF27BD4"/>
    <w:rsid w:val="5EF50B59"/>
    <w:rsid w:val="5F3715C2"/>
    <w:rsid w:val="5FA87DB1"/>
    <w:rsid w:val="603D68F1"/>
    <w:rsid w:val="60B03149"/>
    <w:rsid w:val="610E3C12"/>
    <w:rsid w:val="614B64A3"/>
    <w:rsid w:val="61917CFC"/>
    <w:rsid w:val="61B31A57"/>
    <w:rsid w:val="62743F92"/>
    <w:rsid w:val="62893242"/>
    <w:rsid w:val="636A6AFC"/>
    <w:rsid w:val="63E0645F"/>
    <w:rsid w:val="6458542D"/>
    <w:rsid w:val="64703D81"/>
    <w:rsid w:val="64922FA4"/>
    <w:rsid w:val="64BD1E90"/>
    <w:rsid w:val="652A343A"/>
    <w:rsid w:val="653E4513"/>
    <w:rsid w:val="667B76B0"/>
    <w:rsid w:val="688817D0"/>
    <w:rsid w:val="68BB3350"/>
    <w:rsid w:val="691351B2"/>
    <w:rsid w:val="69364064"/>
    <w:rsid w:val="69512A58"/>
    <w:rsid w:val="69621A9C"/>
    <w:rsid w:val="69655D66"/>
    <w:rsid w:val="697A6D19"/>
    <w:rsid w:val="6A4A73F1"/>
    <w:rsid w:val="6A601595"/>
    <w:rsid w:val="6A820D23"/>
    <w:rsid w:val="6B6D29CC"/>
    <w:rsid w:val="6C637145"/>
    <w:rsid w:val="6D2B31DA"/>
    <w:rsid w:val="6D697335"/>
    <w:rsid w:val="6DD303DC"/>
    <w:rsid w:val="6E461D02"/>
    <w:rsid w:val="6EE5340E"/>
    <w:rsid w:val="6F692905"/>
    <w:rsid w:val="700A46EF"/>
    <w:rsid w:val="71DA2C98"/>
    <w:rsid w:val="722B6D82"/>
    <w:rsid w:val="72E83826"/>
    <w:rsid w:val="732F7242"/>
    <w:rsid w:val="74127717"/>
    <w:rsid w:val="745966CE"/>
    <w:rsid w:val="748D53FF"/>
    <w:rsid w:val="74BF7106"/>
    <w:rsid w:val="7541193A"/>
    <w:rsid w:val="755A0A19"/>
    <w:rsid w:val="757F7954"/>
    <w:rsid w:val="76091AB6"/>
    <w:rsid w:val="76C85E24"/>
    <w:rsid w:val="76CB08C2"/>
    <w:rsid w:val="77315B15"/>
    <w:rsid w:val="7891296E"/>
    <w:rsid w:val="78FE2D8D"/>
    <w:rsid w:val="790F0AA9"/>
    <w:rsid w:val="79427530"/>
    <w:rsid w:val="7A491BB1"/>
    <w:rsid w:val="7AEA2714"/>
    <w:rsid w:val="7B0F3A72"/>
    <w:rsid w:val="7B1C0AB6"/>
    <w:rsid w:val="7B5D134E"/>
    <w:rsid w:val="7C062D05"/>
    <w:rsid w:val="7D032FC5"/>
    <w:rsid w:val="7D875E4B"/>
    <w:rsid w:val="7EC06781"/>
    <w:rsid w:val="7F19292C"/>
    <w:rsid w:val="7F933A06"/>
    <w:rsid w:val="7FAB41F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等线" w:hAnsi="等线" w:eastAsia="等线" w:cs="Times New Roman"/>
      <w:kern w:val="2"/>
      <w:sz w:val="28"/>
      <w:szCs w:val="24"/>
      <w:lang w:val="en-US" w:eastAsia="zh-CN" w:bidi="ar-SA"/>
    </w:rPr>
  </w:style>
  <w:style w:type="paragraph" w:styleId="4">
    <w:name w:val="heading 1"/>
    <w:basedOn w:val="1"/>
    <w:next w:val="1"/>
    <w:qFormat/>
    <w:uiPriority w:val="0"/>
    <w:pPr>
      <w:keepNext/>
      <w:keepLines/>
      <w:numPr>
        <w:ilvl w:val="0"/>
        <w:numId w:val="1"/>
      </w:numPr>
      <w:jc w:val="left"/>
      <w:outlineLvl w:val="0"/>
    </w:pPr>
    <w:rPr>
      <w:rFonts w:ascii="宋体" w:hAnsi="宋体"/>
      <w:b/>
      <w:bCs/>
      <w:kern w:val="44"/>
      <w:sz w:val="30"/>
      <w:szCs w:val="30"/>
    </w:rPr>
  </w:style>
  <w:style w:type="paragraph" w:styleId="5">
    <w:name w:val="heading 2"/>
    <w:basedOn w:val="1"/>
    <w:next w:val="1"/>
    <w:qFormat/>
    <w:uiPriority w:val="0"/>
    <w:pPr>
      <w:keepNext/>
      <w:keepLines/>
      <w:numPr>
        <w:ilvl w:val="1"/>
        <w:numId w:val="1"/>
      </w:numPr>
      <w:spacing w:before="120" w:beforeLines="50"/>
      <w:outlineLvl w:val="1"/>
    </w:pPr>
    <w:rPr>
      <w:rFonts w:ascii="宋体" w:hAnsi="宋体"/>
      <w:b/>
      <w:bCs/>
      <w:szCs w:val="28"/>
    </w:rPr>
  </w:style>
  <w:style w:type="paragraph" w:styleId="6">
    <w:name w:val="heading 3"/>
    <w:basedOn w:val="1"/>
    <w:next w:val="1"/>
    <w:qFormat/>
    <w:uiPriority w:val="0"/>
    <w:pPr>
      <w:keepNext/>
      <w:keepLines/>
      <w:numPr>
        <w:ilvl w:val="2"/>
        <w:numId w:val="1"/>
      </w:numPr>
      <w:outlineLvl w:val="2"/>
    </w:pPr>
    <w:rPr>
      <w:rFonts w:ascii="宋体" w:hAnsi="宋体"/>
      <w:b/>
      <w:bCs/>
      <w:szCs w:val="28"/>
    </w:rPr>
  </w:style>
  <w:style w:type="paragraph" w:styleId="7">
    <w:name w:val="heading 4"/>
    <w:basedOn w:val="1"/>
    <w:next w:val="1"/>
    <w:link w:val="42"/>
    <w:qFormat/>
    <w:uiPriority w:val="0"/>
    <w:pPr>
      <w:keepNext/>
      <w:keepLines/>
      <w:outlineLvl w:val="3"/>
    </w:pPr>
    <w:rPr>
      <w:rFonts w:ascii="Arial" w:hAnsi="Arial"/>
      <w:bCs/>
      <w:sz w:val="21"/>
      <w:szCs w:val="28"/>
    </w:rPr>
  </w:style>
  <w:style w:type="paragraph" w:styleId="8">
    <w:name w:val="heading 5"/>
    <w:basedOn w:val="1"/>
    <w:next w:val="1"/>
    <w:link w:val="54"/>
    <w:qFormat/>
    <w:uiPriority w:val="0"/>
    <w:pPr>
      <w:keepNext/>
      <w:keepLines/>
      <w:spacing w:before="280" w:after="290" w:line="376" w:lineRule="auto"/>
      <w:outlineLvl w:val="4"/>
    </w:pPr>
    <w:rPr>
      <w:b/>
      <w:bCs/>
      <w:szCs w:val="28"/>
    </w:rPr>
  </w:style>
  <w:style w:type="paragraph" w:styleId="9">
    <w:name w:val="heading 6"/>
    <w:basedOn w:val="1"/>
    <w:next w:val="1"/>
    <w:link w:val="56"/>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55"/>
    <w:qFormat/>
    <w:uiPriority w:val="0"/>
    <w:pPr>
      <w:keepNext/>
      <w:keepLines/>
      <w:spacing w:before="240" w:after="64" w:line="320" w:lineRule="auto"/>
      <w:outlineLvl w:val="6"/>
    </w:pPr>
    <w:rPr>
      <w:b/>
      <w:bCs/>
      <w:sz w:val="24"/>
    </w:rPr>
  </w:style>
  <w:style w:type="paragraph" w:styleId="11">
    <w:name w:val="heading 8"/>
    <w:basedOn w:val="1"/>
    <w:next w:val="1"/>
    <w:link w:val="43"/>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45"/>
    <w:qFormat/>
    <w:uiPriority w:val="0"/>
    <w:pPr>
      <w:keepNext/>
      <w:keepLines/>
      <w:spacing w:before="240" w:after="64" w:line="320" w:lineRule="auto"/>
      <w:outlineLvl w:val="8"/>
    </w:pPr>
    <w:rPr>
      <w:rFonts w:ascii="Arial" w:hAnsi="Arial" w:eastAsia="黑体"/>
      <w:sz w:val="21"/>
      <w:szCs w:val="21"/>
    </w:rPr>
  </w:style>
  <w:style w:type="character" w:default="1" w:styleId="34">
    <w:name w:val="Default Paragraph Font"/>
    <w:link w:val="35"/>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spacing w:after="120" w:line="360" w:lineRule="auto"/>
      <w:ind w:left="420" w:leftChars="200" w:firstLine="420"/>
    </w:pPr>
    <w:rPr>
      <w:rFonts w:ascii="仿宋_GB2312" w:hAnsi="仿宋_GB2312" w:eastAsia="仿宋_GB2312"/>
      <w:sz w:val="32"/>
      <w:szCs w:val="22"/>
    </w:rPr>
  </w:style>
  <w:style w:type="paragraph" w:styleId="3">
    <w:name w:val="Body Text Indent"/>
    <w:basedOn w:val="1"/>
    <w:link w:val="58"/>
    <w:qFormat/>
    <w:uiPriority w:val="0"/>
    <w:pPr>
      <w:spacing w:after="120" w:line="240" w:lineRule="auto"/>
      <w:ind w:left="420" w:leftChars="200"/>
    </w:pPr>
    <w:rPr>
      <w:sz w:val="21"/>
    </w:rPr>
  </w:style>
  <w:style w:type="paragraph" w:styleId="13">
    <w:name w:val="toc 7"/>
    <w:basedOn w:val="1"/>
    <w:next w:val="1"/>
    <w:semiHidden/>
    <w:qFormat/>
    <w:uiPriority w:val="0"/>
    <w:pPr>
      <w:spacing w:line="240" w:lineRule="auto"/>
      <w:ind w:left="2520" w:leftChars="1200"/>
    </w:pPr>
    <w:rPr>
      <w:sz w:val="21"/>
    </w:rPr>
  </w:style>
  <w:style w:type="paragraph" w:styleId="14">
    <w:name w:val="Normal Indent"/>
    <w:basedOn w:val="1"/>
    <w:qFormat/>
    <w:uiPriority w:val="0"/>
    <w:pPr>
      <w:adjustRightInd w:val="0"/>
      <w:snapToGrid w:val="0"/>
      <w:spacing w:line="520" w:lineRule="exact"/>
      <w:ind w:firstLine="480" w:firstLineChars="200"/>
    </w:pPr>
    <w:rPr>
      <w:color w:val="000000"/>
      <w:kern w:val="0"/>
      <w:sz w:val="24"/>
    </w:rPr>
  </w:style>
  <w:style w:type="paragraph" w:styleId="15">
    <w:name w:val="Document Map"/>
    <w:basedOn w:val="1"/>
    <w:semiHidden/>
    <w:qFormat/>
    <w:uiPriority w:val="0"/>
    <w:pPr>
      <w:shd w:val="clear" w:color="auto" w:fill="000080"/>
    </w:pPr>
  </w:style>
  <w:style w:type="paragraph" w:styleId="16">
    <w:name w:val="Body Text"/>
    <w:basedOn w:val="1"/>
    <w:qFormat/>
    <w:uiPriority w:val="0"/>
    <w:pPr>
      <w:ind w:left="118"/>
    </w:pPr>
    <w:rPr>
      <w:rFonts w:ascii="仿宋" w:hAnsi="仿宋" w:eastAsia="仿宋" w:cs="仿宋"/>
      <w:sz w:val="32"/>
      <w:szCs w:val="32"/>
      <w:lang w:val="zh-CN" w:eastAsia="zh-CN" w:bidi="zh-CN"/>
    </w:rPr>
  </w:style>
  <w:style w:type="paragraph" w:styleId="17">
    <w:name w:val="toc 5"/>
    <w:basedOn w:val="1"/>
    <w:next w:val="1"/>
    <w:semiHidden/>
    <w:qFormat/>
    <w:uiPriority w:val="0"/>
    <w:pPr>
      <w:spacing w:line="240" w:lineRule="auto"/>
      <w:ind w:left="1680" w:leftChars="800"/>
    </w:pPr>
    <w:rPr>
      <w:sz w:val="21"/>
    </w:rPr>
  </w:style>
  <w:style w:type="paragraph" w:styleId="18">
    <w:name w:val="toc 3"/>
    <w:basedOn w:val="1"/>
    <w:next w:val="1"/>
    <w:semiHidden/>
    <w:qFormat/>
    <w:uiPriority w:val="0"/>
    <w:pPr>
      <w:spacing w:line="240" w:lineRule="auto"/>
      <w:ind w:left="840" w:leftChars="400"/>
    </w:pPr>
    <w:rPr>
      <w:sz w:val="21"/>
    </w:rPr>
  </w:style>
  <w:style w:type="paragraph" w:styleId="19">
    <w:name w:val="Plain Text"/>
    <w:basedOn w:val="1"/>
    <w:link w:val="59"/>
    <w:qFormat/>
    <w:uiPriority w:val="0"/>
    <w:pPr>
      <w:spacing w:line="240" w:lineRule="auto"/>
    </w:pPr>
    <w:rPr>
      <w:rFonts w:ascii="宋体" w:hAnsi="Courier New" w:cs="Courier New"/>
      <w:sz w:val="21"/>
      <w:szCs w:val="21"/>
    </w:rPr>
  </w:style>
  <w:style w:type="paragraph" w:styleId="20">
    <w:name w:val="toc 8"/>
    <w:basedOn w:val="1"/>
    <w:next w:val="1"/>
    <w:semiHidden/>
    <w:qFormat/>
    <w:uiPriority w:val="0"/>
    <w:pPr>
      <w:spacing w:line="240" w:lineRule="auto"/>
      <w:ind w:left="2940" w:leftChars="1400"/>
    </w:pPr>
    <w:rPr>
      <w:sz w:val="21"/>
    </w:rPr>
  </w:style>
  <w:style w:type="paragraph" w:styleId="21">
    <w:name w:val="Body Text Indent 2"/>
    <w:basedOn w:val="1"/>
    <w:qFormat/>
    <w:uiPriority w:val="0"/>
    <w:pPr>
      <w:spacing w:after="120" w:line="480" w:lineRule="auto"/>
      <w:ind w:left="420" w:leftChars="200"/>
    </w:pPr>
  </w:style>
  <w:style w:type="paragraph" w:styleId="22">
    <w:name w:val="Balloon Text"/>
    <w:basedOn w:val="1"/>
    <w:link w:val="49"/>
    <w:qFormat/>
    <w:uiPriority w:val="0"/>
    <w:pPr>
      <w:spacing w:line="240" w:lineRule="auto"/>
    </w:pPr>
    <w:rPr>
      <w:sz w:val="18"/>
      <w:szCs w:val="18"/>
    </w:rPr>
  </w:style>
  <w:style w:type="paragraph" w:styleId="23">
    <w:name w:val="footer"/>
    <w:basedOn w:val="1"/>
    <w:qFormat/>
    <w:uiPriority w:val="0"/>
    <w:pPr>
      <w:tabs>
        <w:tab w:val="center" w:pos="4153"/>
        <w:tab w:val="right" w:pos="8306"/>
      </w:tabs>
      <w:snapToGrid w:val="0"/>
      <w:spacing w:line="240" w:lineRule="auto"/>
      <w:jc w:val="left"/>
    </w:pPr>
    <w:rPr>
      <w:sz w:val="18"/>
      <w:szCs w:val="18"/>
    </w:rPr>
  </w:style>
  <w:style w:type="paragraph" w:styleId="24">
    <w:name w:val="header"/>
    <w:basedOn w:val="1"/>
    <w:link w:val="40"/>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5">
    <w:name w:val="toc 1"/>
    <w:basedOn w:val="1"/>
    <w:next w:val="1"/>
    <w:qFormat/>
    <w:uiPriority w:val="39"/>
  </w:style>
  <w:style w:type="paragraph" w:styleId="26">
    <w:name w:val="toc 4"/>
    <w:basedOn w:val="1"/>
    <w:next w:val="1"/>
    <w:semiHidden/>
    <w:qFormat/>
    <w:uiPriority w:val="0"/>
    <w:pPr>
      <w:spacing w:line="240" w:lineRule="auto"/>
      <w:ind w:left="1260" w:leftChars="600"/>
    </w:pPr>
    <w:rPr>
      <w:sz w:val="21"/>
    </w:rPr>
  </w:style>
  <w:style w:type="paragraph" w:styleId="27">
    <w:name w:val="toc 6"/>
    <w:basedOn w:val="1"/>
    <w:next w:val="1"/>
    <w:semiHidden/>
    <w:qFormat/>
    <w:uiPriority w:val="0"/>
    <w:pPr>
      <w:spacing w:line="240" w:lineRule="auto"/>
      <w:ind w:left="2100" w:leftChars="1000"/>
    </w:pPr>
    <w:rPr>
      <w:sz w:val="21"/>
    </w:rPr>
  </w:style>
  <w:style w:type="paragraph" w:styleId="28">
    <w:name w:val="Body Text Indent 3"/>
    <w:basedOn w:val="1"/>
    <w:qFormat/>
    <w:uiPriority w:val="0"/>
    <w:pPr>
      <w:spacing w:line="240" w:lineRule="auto"/>
      <w:ind w:firstLine="570"/>
    </w:pPr>
    <w:rPr>
      <w:szCs w:val="28"/>
    </w:rPr>
  </w:style>
  <w:style w:type="paragraph" w:styleId="29">
    <w:name w:val="toc 2"/>
    <w:basedOn w:val="1"/>
    <w:next w:val="1"/>
    <w:qFormat/>
    <w:uiPriority w:val="39"/>
    <w:pPr>
      <w:ind w:left="420" w:leftChars="200"/>
    </w:pPr>
  </w:style>
  <w:style w:type="paragraph" w:styleId="30">
    <w:name w:val="toc 9"/>
    <w:basedOn w:val="1"/>
    <w:next w:val="1"/>
    <w:semiHidden/>
    <w:qFormat/>
    <w:uiPriority w:val="0"/>
    <w:pPr>
      <w:spacing w:line="240" w:lineRule="auto"/>
      <w:ind w:left="3360" w:leftChars="1600"/>
    </w:pPr>
    <w:rPr>
      <w:sz w:val="21"/>
    </w:rPr>
  </w:style>
  <w:style w:type="paragraph" w:styleId="31">
    <w:name w:val="Normal (Web)"/>
    <w:basedOn w:val="1"/>
    <w:qFormat/>
    <w:uiPriority w:val="0"/>
    <w:pPr>
      <w:widowControl/>
      <w:spacing w:before="100" w:beforeAutospacing="1" w:after="100" w:afterAutospacing="1" w:line="240" w:lineRule="auto"/>
      <w:jc w:val="left"/>
    </w:pPr>
    <w:rPr>
      <w:rFonts w:ascii="宋体" w:hAnsi="宋体" w:cs="宋体"/>
      <w:kern w:val="0"/>
      <w:sz w:val="24"/>
    </w:rPr>
  </w:style>
  <w:style w:type="table" w:styleId="33">
    <w:name w:val="Table Grid"/>
    <w:basedOn w:val="32"/>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_Style 26"/>
    <w:basedOn w:val="1"/>
    <w:link w:val="34"/>
    <w:qFormat/>
    <w:uiPriority w:val="0"/>
    <w:pPr>
      <w:spacing w:line="240" w:lineRule="auto"/>
    </w:pPr>
    <w:rPr>
      <w:sz w:val="21"/>
    </w:rPr>
  </w:style>
  <w:style w:type="character" w:styleId="36">
    <w:name w:val="Strong"/>
    <w:qFormat/>
    <w:uiPriority w:val="0"/>
    <w:rPr>
      <w:b/>
      <w:bCs/>
    </w:rPr>
  </w:style>
  <w:style w:type="character" w:styleId="37">
    <w:name w:val="page number"/>
    <w:basedOn w:val="34"/>
    <w:qFormat/>
    <w:uiPriority w:val="0"/>
  </w:style>
  <w:style w:type="character" w:styleId="38">
    <w:name w:val="FollowedHyperlink"/>
    <w:basedOn w:val="34"/>
    <w:qFormat/>
    <w:uiPriority w:val="0"/>
    <w:rPr>
      <w:color w:val="800080"/>
      <w:u w:val="none"/>
    </w:rPr>
  </w:style>
  <w:style w:type="character" w:styleId="39">
    <w:name w:val="Hyperlink"/>
    <w:basedOn w:val="34"/>
    <w:qFormat/>
    <w:uiPriority w:val="99"/>
    <w:rPr>
      <w:color w:val="0000FF"/>
      <w:u w:val="none"/>
    </w:rPr>
  </w:style>
  <w:style w:type="character" w:customStyle="1" w:styleId="40">
    <w:name w:val="页眉 Char"/>
    <w:link w:val="24"/>
    <w:qFormat/>
    <w:uiPriority w:val="0"/>
    <w:rPr>
      <w:rFonts w:eastAsia="宋体"/>
      <w:kern w:val="2"/>
      <w:sz w:val="18"/>
      <w:szCs w:val="18"/>
      <w:lang w:val="en-US" w:eastAsia="zh-CN" w:bidi="ar-SA"/>
    </w:rPr>
  </w:style>
  <w:style w:type="character" w:customStyle="1" w:styleId="41">
    <w:name w:val="edit_font_normal"/>
    <w:basedOn w:val="34"/>
    <w:qFormat/>
    <w:uiPriority w:val="0"/>
  </w:style>
  <w:style w:type="character" w:customStyle="1" w:styleId="42">
    <w:name w:val="标题 4 Char"/>
    <w:link w:val="7"/>
    <w:qFormat/>
    <w:uiPriority w:val="0"/>
    <w:rPr>
      <w:rFonts w:ascii="Arial" w:hAnsi="Arial"/>
      <w:bCs/>
      <w:kern w:val="2"/>
      <w:sz w:val="21"/>
      <w:szCs w:val="28"/>
    </w:rPr>
  </w:style>
  <w:style w:type="character" w:customStyle="1" w:styleId="43">
    <w:name w:val="标题 8 Char"/>
    <w:link w:val="11"/>
    <w:qFormat/>
    <w:uiPriority w:val="0"/>
    <w:rPr>
      <w:rFonts w:ascii="Arial" w:hAnsi="Arial" w:eastAsia="黑体"/>
      <w:kern w:val="2"/>
      <w:sz w:val="24"/>
      <w:szCs w:val="24"/>
    </w:rPr>
  </w:style>
  <w:style w:type="character" w:customStyle="1" w:styleId="44">
    <w:name w:val="last-child"/>
    <w:basedOn w:val="34"/>
    <w:qFormat/>
    <w:uiPriority w:val="0"/>
  </w:style>
  <w:style w:type="character" w:customStyle="1" w:styleId="45">
    <w:name w:val="标题 9 Char"/>
    <w:link w:val="12"/>
    <w:qFormat/>
    <w:uiPriority w:val="0"/>
    <w:rPr>
      <w:rFonts w:ascii="Arial" w:hAnsi="Arial" w:eastAsia="黑体"/>
      <w:kern w:val="2"/>
      <w:sz w:val="21"/>
      <w:szCs w:val="21"/>
    </w:rPr>
  </w:style>
  <w:style w:type="character" w:customStyle="1" w:styleId="46">
    <w:name w:val="font21"/>
    <w:basedOn w:val="34"/>
    <w:qFormat/>
    <w:uiPriority w:val="0"/>
    <w:rPr>
      <w:rFonts w:hint="eastAsia" w:ascii="宋体" w:hAnsi="宋体" w:eastAsia="宋体" w:cs="宋体"/>
      <w:color w:val="000000"/>
      <w:sz w:val="20"/>
      <w:szCs w:val="20"/>
      <w:u w:val="none"/>
      <w:vertAlign w:val="superscript"/>
    </w:rPr>
  </w:style>
  <w:style w:type="character" w:customStyle="1" w:styleId="47">
    <w:name w:val="active"/>
    <w:basedOn w:val="34"/>
    <w:qFormat/>
    <w:uiPriority w:val="0"/>
  </w:style>
  <w:style w:type="character" w:customStyle="1" w:styleId="48">
    <w:name w:val="description"/>
    <w:basedOn w:val="34"/>
    <w:qFormat/>
    <w:uiPriority w:val="0"/>
  </w:style>
  <w:style w:type="character" w:customStyle="1" w:styleId="49">
    <w:name w:val="批注框文本 Char"/>
    <w:link w:val="22"/>
    <w:qFormat/>
    <w:uiPriority w:val="0"/>
    <w:rPr>
      <w:kern w:val="2"/>
      <w:sz w:val="18"/>
      <w:szCs w:val="18"/>
    </w:rPr>
  </w:style>
  <w:style w:type="character" w:customStyle="1" w:styleId="50">
    <w:name w:val="first-child"/>
    <w:basedOn w:val="34"/>
    <w:qFormat/>
    <w:uiPriority w:val="0"/>
  </w:style>
  <w:style w:type="character" w:customStyle="1" w:styleId="51">
    <w:name w:val="bsharetext"/>
    <w:basedOn w:val="34"/>
    <w:qFormat/>
    <w:uiPriority w:val="0"/>
  </w:style>
  <w:style w:type="character" w:customStyle="1" w:styleId="52">
    <w:name w:val="apple-converted-space"/>
    <w:basedOn w:val="34"/>
    <w:qFormat/>
    <w:uiPriority w:val="0"/>
  </w:style>
  <w:style w:type="character" w:customStyle="1" w:styleId="53">
    <w:name w:val="font01"/>
    <w:basedOn w:val="34"/>
    <w:qFormat/>
    <w:uiPriority w:val="0"/>
    <w:rPr>
      <w:rFonts w:hint="eastAsia" w:ascii="宋体" w:hAnsi="宋体" w:eastAsia="宋体" w:cs="宋体"/>
      <w:color w:val="000000"/>
      <w:sz w:val="20"/>
      <w:szCs w:val="20"/>
      <w:u w:val="none"/>
      <w:vertAlign w:val="superscript"/>
    </w:rPr>
  </w:style>
  <w:style w:type="character" w:customStyle="1" w:styleId="54">
    <w:name w:val="标题 5 Char"/>
    <w:link w:val="8"/>
    <w:qFormat/>
    <w:uiPriority w:val="0"/>
    <w:rPr>
      <w:b/>
      <w:bCs/>
      <w:kern w:val="2"/>
      <w:sz w:val="28"/>
      <w:szCs w:val="28"/>
    </w:rPr>
  </w:style>
  <w:style w:type="character" w:customStyle="1" w:styleId="55">
    <w:name w:val="标题 7 Char"/>
    <w:link w:val="10"/>
    <w:qFormat/>
    <w:uiPriority w:val="0"/>
    <w:rPr>
      <w:b/>
      <w:bCs/>
      <w:kern w:val="2"/>
      <w:sz w:val="24"/>
      <w:szCs w:val="24"/>
    </w:rPr>
  </w:style>
  <w:style w:type="character" w:customStyle="1" w:styleId="56">
    <w:name w:val="标题 6 Char"/>
    <w:link w:val="9"/>
    <w:qFormat/>
    <w:uiPriority w:val="0"/>
    <w:rPr>
      <w:rFonts w:ascii="Arial" w:hAnsi="Arial" w:eastAsia="黑体"/>
      <w:b/>
      <w:bCs/>
      <w:kern w:val="2"/>
      <w:sz w:val="24"/>
      <w:szCs w:val="24"/>
    </w:rPr>
  </w:style>
  <w:style w:type="character" w:customStyle="1" w:styleId="57">
    <w:name w:val="font31"/>
    <w:basedOn w:val="34"/>
    <w:qFormat/>
    <w:uiPriority w:val="0"/>
    <w:rPr>
      <w:rFonts w:hint="eastAsia" w:ascii="宋体" w:hAnsi="宋体" w:eastAsia="宋体" w:cs="宋体"/>
      <w:color w:val="000000"/>
      <w:sz w:val="20"/>
      <w:szCs w:val="20"/>
      <w:u w:val="none"/>
    </w:rPr>
  </w:style>
  <w:style w:type="character" w:customStyle="1" w:styleId="58">
    <w:name w:val="正文文本缩进 Char"/>
    <w:link w:val="3"/>
    <w:qFormat/>
    <w:uiPriority w:val="0"/>
    <w:rPr>
      <w:rFonts w:eastAsia="宋体"/>
      <w:kern w:val="2"/>
      <w:sz w:val="21"/>
      <w:szCs w:val="24"/>
      <w:lang w:val="en-US" w:eastAsia="zh-CN" w:bidi="ar-SA"/>
    </w:rPr>
  </w:style>
  <w:style w:type="character" w:customStyle="1" w:styleId="59">
    <w:name w:val="纯文本 Char"/>
    <w:link w:val="19"/>
    <w:qFormat/>
    <w:uiPriority w:val="0"/>
    <w:rPr>
      <w:rFonts w:ascii="宋体" w:hAnsi="Courier New" w:eastAsia="宋体" w:cs="Courier New"/>
      <w:kern w:val="2"/>
      <w:sz w:val="21"/>
      <w:szCs w:val="21"/>
      <w:lang w:val="en-US" w:eastAsia="zh-CN" w:bidi="ar-SA"/>
    </w:rPr>
  </w:style>
  <w:style w:type="paragraph" w:customStyle="1" w:styleId="60">
    <w:name w:val="列出段落1"/>
    <w:basedOn w:val="1"/>
    <w:qFormat/>
    <w:uiPriority w:val="34"/>
    <w:pPr>
      <w:ind w:firstLine="480" w:firstLineChars="200"/>
    </w:pPr>
  </w:style>
  <w:style w:type="paragraph" w:customStyle="1" w:styleId="61">
    <w:name w:val="Body text|2"/>
    <w:basedOn w:val="1"/>
    <w:qFormat/>
    <w:uiPriority w:val="0"/>
    <w:pPr>
      <w:widowControl w:val="0"/>
      <w:shd w:val="clear" w:color="auto" w:fill="auto"/>
      <w:ind w:firstLine="620"/>
    </w:pPr>
    <w:rPr>
      <w:rFonts w:ascii="宋体" w:hAnsi="宋体" w:eastAsia="宋体" w:cs="宋体"/>
      <w:u w:val="none"/>
      <w:shd w:val="clear" w:color="auto" w:fill="auto"/>
      <w:lang w:val="zh-TW" w:eastAsia="zh-TW" w:bidi="zh-TW"/>
    </w:rPr>
  </w:style>
  <w:style w:type="paragraph" w:styleId="62">
    <w:name w:val="List Paragraph"/>
    <w:basedOn w:val="1"/>
    <w:qFormat/>
    <w:uiPriority w:val="0"/>
    <w:pPr>
      <w:ind w:firstLine="420" w:firstLineChars="200"/>
    </w:pPr>
    <w:rPr>
      <w:rFonts w:ascii="Calibri" w:hAnsi="Calibri"/>
      <w:sz w:val="24"/>
      <w:szCs w:val="22"/>
    </w:rPr>
  </w:style>
  <w:style w:type="paragraph" w:customStyle="1" w:styleId="63">
    <w:name w:val="Body text|1"/>
    <w:basedOn w:val="1"/>
    <w:qFormat/>
    <w:uiPriority w:val="0"/>
    <w:pPr>
      <w:widowControl w:val="0"/>
      <w:shd w:val="clear" w:color="auto" w:fill="auto"/>
      <w:spacing w:line="446" w:lineRule="auto"/>
      <w:ind w:firstLine="400"/>
    </w:pPr>
    <w:rPr>
      <w:rFonts w:ascii="宋体" w:hAnsi="宋体" w:eastAsia="宋体" w:cs="宋体"/>
      <w:sz w:val="28"/>
      <w:szCs w:val="28"/>
      <w:u w:val="none"/>
      <w:shd w:val="clear" w:color="auto" w:fill="auto"/>
      <w:lang w:val="zh-TW" w:eastAsia="zh-TW" w:bidi="zh-TW"/>
    </w:rPr>
  </w:style>
  <w:style w:type="paragraph" w:customStyle="1" w:styleId="64">
    <w:name w:val="样式 首行缩进:  0 厘米"/>
    <w:basedOn w:val="1"/>
    <w:qFormat/>
    <w:uiPriority w:val="0"/>
    <w:pPr>
      <w:adjustRightInd/>
      <w:snapToGrid/>
      <w:ind w:firstLine="420" w:firstLineChars="0"/>
    </w:pPr>
    <w:rPr>
      <w:rFonts w:ascii="Times New Roman" w:hAnsi="Times New Roman" w:eastAsia="宋体" w:cs="宋体"/>
      <w:sz w:val="24"/>
      <w:szCs w:val="20"/>
    </w:rPr>
  </w:style>
  <w:style w:type="paragraph" w:customStyle="1" w:styleId="65">
    <w:name w:val="List Paragraph1"/>
    <w:qFormat/>
    <w:uiPriority w:val="1"/>
    <w:pPr>
      <w:spacing w:line="600" w:lineRule="exact"/>
      <w:ind w:left="111" w:firstLine="640"/>
    </w:pPr>
    <w:rPr>
      <w:rFonts w:ascii="宋体" w:hAnsi="宋体" w:eastAsia="宋体" w:cs="宋体"/>
      <w:lang w:val="en-US" w:eastAsia="zh-CN" w:bidi="ar-SA"/>
    </w:rPr>
  </w:style>
  <w:style w:type="paragraph" w:customStyle="1" w:styleId="66">
    <w:name w:val=" Char Char Char Char Char Char Char Char Char Char Char Char Char Char Char Char Char Char Char"/>
    <w:basedOn w:val="1"/>
    <w:qFormat/>
    <w:uiPriority w:val="0"/>
    <w:pPr>
      <w:snapToGrid w:val="0"/>
      <w:ind w:firstLine="200" w:firstLineChars="200"/>
    </w:pPr>
    <w:rPr>
      <w:sz w:val="21"/>
      <w:szCs w:val="20"/>
    </w:rPr>
  </w:style>
  <w:style w:type="paragraph" w:customStyle="1" w:styleId="67">
    <w:name w:val=" Char Char Char Char"/>
    <w:basedOn w:val="1"/>
    <w:semiHidden/>
    <w:qFormat/>
    <w:uiPriority w:val="0"/>
    <w:pPr>
      <w:spacing w:line="240" w:lineRule="auto"/>
    </w:pPr>
    <w:rPr>
      <w:sz w:val="21"/>
    </w:rPr>
  </w:style>
  <w:style w:type="paragraph" w:customStyle="1" w:styleId="68">
    <w:name w:val="图"/>
    <w:basedOn w:val="1"/>
    <w:qFormat/>
    <w:uiPriority w:val="0"/>
    <w:pPr>
      <w:jc w:val="center"/>
    </w:pPr>
    <w:rPr>
      <w:rFonts w:eastAsia="仿宋_GB2312"/>
      <w:sz w:val="24"/>
      <w:szCs w:val="28"/>
    </w:rPr>
  </w:style>
  <w:style w:type="paragraph" w:customStyle="1" w:styleId="69">
    <w:name w:val="样式 纯文本 + (符号) 宋体 三号 加粗 行距: 固定值 25 磅"/>
    <w:basedOn w:val="19"/>
    <w:qFormat/>
    <w:uiPriority w:val="0"/>
    <w:pPr>
      <w:spacing w:line="360" w:lineRule="auto"/>
      <w:ind w:firstLine="560" w:firstLineChars="200"/>
    </w:pPr>
    <w:rPr>
      <w:rFonts w:ascii="Times New Roman" w:hAnsi="Times New Roman" w:cs="宋体"/>
      <w:bCs/>
      <w:kern w:val="0"/>
      <w:sz w:val="28"/>
      <w:szCs w:val="28"/>
    </w:rPr>
  </w:style>
  <w:style w:type="paragraph" w:customStyle="1" w:styleId="70">
    <w:name w:val="样式2"/>
    <w:basedOn w:val="5"/>
    <w:qFormat/>
    <w:uiPriority w:val="0"/>
    <w:rPr>
      <w:sz w:val="30"/>
    </w:rPr>
  </w:style>
  <w:style w:type="paragraph" w:customStyle="1" w:styleId="71">
    <w:name w:val="报告正文"/>
    <w:basedOn w:val="2"/>
    <w:qFormat/>
    <w:uiPriority w:val="0"/>
    <w:pPr>
      <w:adjustRightInd/>
      <w:snapToGrid/>
      <w:spacing w:after="0"/>
      <w:ind w:left="0" w:leftChars="0" w:firstLine="200"/>
    </w:pPr>
    <w:rPr>
      <w:rFonts w:ascii="Times New Roman" w:hAnsi="Times New Roman" w:eastAsia="宋体" w:cs="宋体"/>
      <w:spacing w:val="6"/>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media/image13.wmf"/><Relationship Id="rId23" Type="http://schemas.openxmlformats.org/officeDocument/2006/relationships/oleObject" Target="embeddings/oleObject3.bin"/><Relationship Id="rId22" Type="http://schemas.openxmlformats.org/officeDocument/2006/relationships/image" Target="media/image12.wmf"/><Relationship Id="rId21" Type="http://schemas.openxmlformats.org/officeDocument/2006/relationships/oleObject" Target="embeddings/oleObject2.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MC SYSTEM</Company>
  <Pages>118</Pages>
  <Words>68473</Words>
  <Characters>76365</Characters>
  <Lines>548</Lines>
  <Paragraphs>154</Paragraphs>
  <TotalTime>14</TotalTime>
  <ScaleCrop>false</ScaleCrop>
  <LinksUpToDate>false</LinksUpToDate>
  <CharactersWithSpaces>77095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2012-09-07T05:41:00Z</dcterms:created>
  <dc:creator>MC SYSTEM</dc:creator>
  <cp:lastModifiedBy>风彩</cp:lastModifiedBy>
  <cp:lastPrinted>2015-08-14T02:39:00Z</cp:lastPrinted>
  <dcterms:modified xsi:type="dcterms:W3CDTF">2025-02-06T06:43:45Z</dcterms:modified>
  <dc:title>南康市农村自来水工程规划报告</dc:title>
  <cp:revision>590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970FE50562024D44B7AA27D3703D7CC3_13</vt:lpwstr>
  </property>
</Properties>
</file>