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bookmarkStart w:id="0" w:name="_GoBack"/>
      <w:bookmarkEnd w:id="0"/>
      <w:r>
        <w:rPr>
          <w:rFonts w:hint="eastAsia"/>
          <w:sz w:val="44"/>
          <w:szCs w:val="44"/>
        </w:rPr>
        <w:t>德安县宝塔中心小学段道路改扩建项目</w:t>
      </w:r>
    </w:p>
    <w:p>
      <w:pPr>
        <w:jc w:val="center"/>
        <w:rPr>
          <w:rFonts w:hint="eastAsia"/>
          <w:sz w:val="44"/>
          <w:szCs w:val="44"/>
        </w:rPr>
      </w:pPr>
      <w:r>
        <w:rPr>
          <w:rFonts w:hint="eastAsia"/>
          <w:sz w:val="44"/>
          <w:szCs w:val="44"/>
        </w:rPr>
        <w:t>房屋征收补偿方案政策解读</w:t>
      </w:r>
    </w:p>
    <w:p>
      <w:pPr>
        <w:rPr>
          <w:rFonts w:hint="eastAsia"/>
        </w:rPr>
      </w:pPr>
    </w:p>
    <w:p>
      <w:pPr>
        <w:rPr>
          <w:rFonts w:hint="eastAsia" w:ascii="黑体" w:hAnsi="黑体" w:eastAsia="黑体"/>
          <w:sz w:val="32"/>
          <w:szCs w:val="32"/>
        </w:rPr>
      </w:pPr>
      <w:r>
        <w:rPr>
          <w:rFonts w:hint="eastAsia" w:ascii="黑体" w:hAnsi="黑体" w:eastAsia="黑体"/>
          <w:sz w:val="32"/>
          <w:szCs w:val="32"/>
        </w:rPr>
        <w:t>一、征收基本流程</w:t>
      </w:r>
    </w:p>
    <w:tbl>
      <w:tblPr>
        <w:tblStyle w:val="3"/>
        <w:tblW w:w="0" w:type="auto"/>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27" w:type="dxa"/>
          </w:tcPr>
          <w:p>
            <w:pPr>
              <w:jc w:val="center"/>
            </w:pPr>
            <w:r>
              <w:rPr>
                <w:rFonts w:hint="eastAsia"/>
              </w:rPr>
              <w:t>决定征收</w:t>
            </w:r>
          </w:p>
        </w:tc>
      </w:tr>
    </w:tbl>
    <w:p>
      <w:pPr>
        <w:jc w:val="center"/>
        <w:rPr>
          <w:rFonts w:hint="eastAsia"/>
        </w:rPr>
      </w:pPr>
      <w:r>
        <w:rPr>
          <w:rFonts w:hint="eastAsia"/>
        </w:rPr>
        <w:t>↓</w:t>
      </w:r>
    </w:p>
    <w:tbl>
      <w:tblPr>
        <w:tblStyle w:val="3"/>
        <w:tblW w:w="0" w:type="auto"/>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Pr>
          <w:p>
            <w:pPr>
              <w:jc w:val="center"/>
              <w:rPr>
                <w:rFonts w:hint="eastAsia"/>
              </w:rPr>
            </w:pPr>
            <w:r>
              <w:rPr>
                <w:rFonts w:hint="eastAsia"/>
              </w:rPr>
              <w:t>进行征收公告和补偿方案公示</w:t>
            </w:r>
          </w:p>
        </w:tc>
      </w:tr>
    </w:tbl>
    <w:p>
      <w:pPr>
        <w:jc w:val="center"/>
        <w:rPr>
          <w:rFonts w:hint="eastAsia"/>
        </w:rPr>
      </w:pPr>
      <w:r>
        <w:rPr>
          <w:rFonts w:hint="eastAsia"/>
        </w:rPr>
        <w:t>↓</w:t>
      </w:r>
    </w:p>
    <w:tbl>
      <w:tblPr>
        <w:tblStyle w:val="3"/>
        <w:tblW w:w="0" w:type="auto"/>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Pr>
          <w:p>
            <w:pPr>
              <w:jc w:val="center"/>
              <w:rPr>
                <w:rFonts w:hint="eastAsia"/>
              </w:rPr>
            </w:pPr>
            <w:r>
              <w:rPr>
                <w:rFonts w:hint="eastAsia"/>
              </w:rPr>
              <w:t>调查登记、公布调查情况</w:t>
            </w:r>
          </w:p>
        </w:tc>
      </w:tr>
    </w:tbl>
    <w:p>
      <w:pPr>
        <w:jc w:val="center"/>
        <w:rPr>
          <w:rFonts w:hint="eastAsia"/>
        </w:rPr>
      </w:pPr>
      <w:r>
        <w:rPr>
          <w:rFonts w:hint="eastAsia"/>
        </w:rPr>
        <w:t>↓</w:t>
      </w:r>
    </w:p>
    <w:tbl>
      <w:tblPr>
        <w:tblStyle w:val="3"/>
        <w:tblW w:w="0" w:type="auto"/>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Pr>
          <w:p>
            <w:pPr>
              <w:jc w:val="center"/>
              <w:rPr>
                <w:rFonts w:hint="eastAsia"/>
              </w:rPr>
            </w:pPr>
            <w:r>
              <w:rPr>
                <w:rFonts w:hint="eastAsia"/>
              </w:rPr>
              <w:t>评估测绘机构入户勘查，公布评估结果</w:t>
            </w:r>
          </w:p>
        </w:tc>
      </w:tr>
    </w:tbl>
    <w:p>
      <w:pPr>
        <w:jc w:val="center"/>
        <w:rPr>
          <w:rFonts w:hint="eastAsia"/>
        </w:rPr>
      </w:pPr>
      <w:r>
        <w:rPr>
          <w:rFonts w:hint="eastAsia"/>
        </w:rPr>
        <w:t>↓</w:t>
      </w:r>
    </w:p>
    <w:tbl>
      <w:tblPr>
        <w:tblStyle w:val="3"/>
        <w:tblW w:w="0" w:type="auto"/>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Pr>
          <w:p>
            <w:pPr>
              <w:jc w:val="center"/>
              <w:rPr>
                <w:rFonts w:hint="eastAsia"/>
              </w:rPr>
            </w:pPr>
            <w:r>
              <w:rPr>
                <w:rFonts w:hint="eastAsia"/>
              </w:rPr>
              <w:t>签订房屋征收补偿协议</w:t>
            </w:r>
          </w:p>
        </w:tc>
      </w:tr>
    </w:tbl>
    <w:p>
      <w:pPr>
        <w:jc w:val="center"/>
        <w:rPr>
          <w:rFonts w:hint="eastAsia"/>
        </w:rPr>
      </w:pPr>
      <w:r>
        <w:rPr>
          <w:rFonts w:hint="eastAsia"/>
        </w:rPr>
        <w:t>↓</w:t>
      </w:r>
    </w:p>
    <w:tbl>
      <w:tblPr>
        <w:tblStyle w:val="3"/>
        <w:tblW w:w="0" w:type="auto"/>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Pr>
          <w:p>
            <w:pPr>
              <w:jc w:val="center"/>
              <w:rPr>
                <w:rFonts w:hint="eastAsia"/>
              </w:rPr>
            </w:pPr>
            <w:r>
              <w:rPr>
                <w:rFonts w:hint="eastAsia"/>
              </w:rPr>
              <w:t>按协议补偿到位</w:t>
            </w:r>
          </w:p>
        </w:tc>
      </w:tr>
    </w:tbl>
    <w:p>
      <w:pPr>
        <w:jc w:val="center"/>
        <w:rPr>
          <w:rFonts w:hint="eastAsia"/>
        </w:rPr>
      </w:pPr>
      <w:r>
        <w:rPr>
          <w:rFonts w:hint="eastAsia"/>
        </w:rPr>
        <w:t>↓</w:t>
      </w:r>
    </w:p>
    <w:tbl>
      <w:tblPr>
        <w:tblStyle w:val="3"/>
        <w:tblW w:w="0" w:type="auto"/>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tcPr>
          <w:p>
            <w:pPr>
              <w:jc w:val="center"/>
              <w:rPr>
                <w:rFonts w:hint="eastAsia"/>
              </w:rPr>
            </w:pPr>
            <w:r>
              <w:rPr>
                <w:rFonts w:hint="eastAsia"/>
              </w:rPr>
              <w:t>搬迁</w:t>
            </w:r>
          </w:p>
        </w:tc>
      </w:tr>
    </w:tbl>
    <w:p>
      <w:pPr>
        <w:rPr>
          <w:rFonts w:hint="eastAsia"/>
        </w:rPr>
      </w:pPr>
    </w:p>
    <w:p>
      <w:pPr>
        <w:ind w:firstLine="707" w:firstLineChars="221"/>
        <w:rPr>
          <w:rFonts w:hint="eastAsia" w:ascii="仿宋" w:hAnsi="仿宋" w:eastAsia="仿宋"/>
          <w:sz w:val="32"/>
          <w:szCs w:val="32"/>
        </w:rPr>
      </w:pPr>
      <w:r>
        <w:rPr>
          <w:rFonts w:hint="eastAsia" w:ascii="黑体" w:hAnsi="黑体" w:eastAsia="黑体"/>
          <w:sz w:val="32"/>
          <w:szCs w:val="32"/>
        </w:rPr>
        <w:t>二、征收程序：</w:t>
      </w:r>
      <w:r>
        <w:rPr>
          <w:rFonts w:hint="eastAsia" w:ascii="仿宋" w:hAnsi="仿宋" w:eastAsia="仿宋"/>
          <w:sz w:val="32"/>
          <w:szCs w:val="32"/>
        </w:rPr>
        <w:t>集体土地上房屋征收参照《国有土地上房屋征收与补偿条例》（国务院590号令）执行。因房屋无产权、土地属集体所有，故其征收程序与国有土地上房屋征收略有差别，其中省略了由县级以上人民政府作出征收决定、选举评估公司、申请法院强制执行等环节。</w:t>
      </w:r>
    </w:p>
    <w:p>
      <w:pPr>
        <w:ind w:firstLine="707" w:firstLineChars="221"/>
        <w:rPr>
          <w:rFonts w:hint="eastAsia" w:ascii="仿宋" w:hAnsi="仿宋" w:eastAsia="仿宋"/>
          <w:sz w:val="32"/>
          <w:szCs w:val="32"/>
        </w:rPr>
      </w:pPr>
      <w:r>
        <w:rPr>
          <w:rFonts w:hint="eastAsia" w:ascii="黑体" w:hAnsi="黑体" w:eastAsia="黑体"/>
          <w:sz w:val="32"/>
          <w:szCs w:val="32"/>
        </w:rPr>
        <w:t>三、征收补偿内容：</w:t>
      </w:r>
      <w:r>
        <w:rPr>
          <w:rFonts w:hint="eastAsia" w:ascii="仿宋" w:hAnsi="仿宋" w:eastAsia="仿宋"/>
          <w:sz w:val="32"/>
          <w:szCs w:val="32"/>
        </w:rPr>
        <w:t>除土地征收补偿由县自然资源局按照现行土地征收补偿标准对被征收土地进行补偿外，其它补偿内容均根据评估测绘勘查数据按标准由实施单位与被征收户协议补偿。</w:t>
      </w:r>
    </w:p>
    <w:p>
      <w:pPr>
        <w:ind w:firstLine="707" w:firstLineChars="221"/>
        <w:rPr>
          <w:rFonts w:hint="eastAsia" w:ascii="仿宋" w:hAnsi="仿宋" w:eastAsia="仿宋"/>
          <w:sz w:val="32"/>
          <w:szCs w:val="32"/>
        </w:rPr>
      </w:pPr>
      <w:r>
        <w:rPr>
          <w:rFonts w:hint="eastAsia" w:ascii="黑体" w:hAnsi="黑体" w:eastAsia="黑体"/>
          <w:sz w:val="32"/>
          <w:szCs w:val="32"/>
        </w:rPr>
        <w:t>四、房屋征收补偿安置方式：</w:t>
      </w:r>
      <w:r>
        <w:rPr>
          <w:rFonts w:hint="eastAsia" w:ascii="仿宋" w:hAnsi="仿宋" w:eastAsia="仿宋"/>
          <w:sz w:val="32"/>
          <w:szCs w:val="32"/>
        </w:rPr>
        <w:t>实行货币补偿和征一还一两种补偿安置方式任选其一，都是针对被征收房屋正房（裸房）部分而言。</w:t>
      </w:r>
    </w:p>
    <w:p>
      <w:pPr>
        <w:ind w:firstLine="710" w:firstLineChars="221"/>
        <w:rPr>
          <w:rFonts w:hint="eastAsia" w:ascii="仿宋" w:hAnsi="仿宋" w:eastAsia="仿宋"/>
          <w:sz w:val="32"/>
          <w:szCs w:val="32"/>
        </w:rPr>
      </w:pPr>
      <w:r>
        <w:rPr>
          <w:rFonts w:hint="eastAsia" w:ascii="楷体" w:hAnsi="楷体" w:eastAsia="楷体"/>
          <w:b/>
          <w:sz w:val="32"/>
          <w:szCs w:val="32"/>
        </w:rPr>
        <w:t>1.货币补偿：</w:t>
      </w:r>
      <w:r>
        <w:rPr>
          <w:rFonts w:hint="eastAsia" w:ascii="仿宋" w:hAnsi="仿宋" w:eastAsia="仿宋"/>
          <w:sz w:val="32"/>
          <w:szCs w:val="32"/>
        </w:rPr>
        <w:t>是由评估公司参照被征收范围类似二手房市场房屋交易行情提出的符合本地段行情的类似房屋市场基准价，由实施单位根据被征收正房具体情况结合成新度进行的补偿安置方式。</w:t>
      </w:r>
    </w:p>
    <w:p>
      <w:pPr>
        <w:ind w:firstLine="710" w:firstLineChars="221"/>
        <w:rPr>
          <w:rFonts w:hint="eastAsia" w:ascii="仿宋" w:hAnsi="仿宋" w:eastAsia="仿宋"/>
          <w:sz w:val="32"/>
          <w:szCs w:val="32"/>
        </w:rPr>
      </w:pPr>
      <w:r>
        <w:rPr>
          <w:rFonts w:hint="eastAsia" w:ascii="楷体" w:hAnsi="楷体" w:eastAsia="楷体"/>
          <w:b/>
          <w:sz w:val="32"/>
          <w:szCs w:val="32"/>
        </w:rPr>
        <w:t>2.征一还一：</w:t>
      </w:r>
      <w:r>
        <w:rPr>
          <w:rFonts w:hint="eastAsia" w:ascii="仿宋" w:hAnsi="仿宋" w:eastAsia="仿宋"/>
          <w:sz w:val="32"/>
          <w:szCs w:val="32"/>
        </w:rPr>
        <w:t>该安置方式又分两种方法供被征收户选择。</w:t>
      </w:r>
    </w:p>
    <w:p>
      <w:pPr>
        <w:ind w:firstLine="707" w:firstLineChars="221"/>
        <w:rPr>
          <w:rFonts w:hint="eastAsia" w:ascii="仿宋" w:hAnsi="仿宋" w:eastAsia="仿宋"/>
          <w:sz w:val="32"/>
          <w:szCs w:val="32"/>
        </w:rPr>
      </w:pPr>
      <w:r>
        <w:rPr>
          <w:rFonts w:hint="eastAsia" w:ascii="仿宋" w:hAnsi="仿宋" w:eastAsia="仿宋"/>
          <w:sz w:val="32"/>
          <w:szCs w:val="32"/>
        </w:rPr>
        <w:t>一是按照被征收正房面积结合成新折旧原则，由政府在指定地点还同等面积安置住房，最后根据实际情况进行找差结算进行安置的方式。该安置方式仅补偿房屋装饰装修及附属物等价格，正房不予补偿。</w:t>
      </w:r>
    </w:p>
    <w:p>
      <w:pPr>
        <w:ind w:firstLine="707" w:firstLineChars="221"/>
        <w:rPr>
          <w:rFonts w:hint="eastAsia" w:ascii="仿宋" w:hAnsi="仿宋" w:eastAsia="仿宋"/>
          <w:sz w:val="32"/>
          <w:szCs w:val="32"/>
        </w:rPr>
      </w:pPr>
      <w:r>
        <w:rPr>
          <w:rFonts w:hint="eastAsia" w:ascii="仿宋" w:hAnsi="仿宋" w:eastAsia="仿宋"/>
          <w:sz w:val="32"/>
          <w:szCs w:val="32"/>
        </w:rPr>
        <w:t>二是按照被征收户家庭人口按人均建筑面积60平方米指标给予被征收户安置房的一种安置方式。其中，被征收户必须是当地世居农户，且从未经历房屋征收和享受房屋安置政策，世居农户家庭人口必须是当地享受集体分配的在册人员，在册人员中，如有不符合政策的，则在此次征收中相应扣减计算。</w:t>
      </w:r>
    </w:p>
    <w:p>
      <w:pPr>
        <w:ind w:firstLine="707" w:firstLineChars="221"/>
        <w:rPr>
          <w:rFonts w:hint="eastAsia" w:ascii="仿宋" w:hAnsi="仿宋" w:eastAsia="仿宋"/>
          <w:sz w:val="32"/>
          <w:szCs w:val="32"/>
        </w:rPr>
      </w:pPr>
      <w:r>
        <w:rPr>
          <w:rFonts w:hint="eastAsia" w:ascii="黑体" w:hAnsi="黑体" w:eastAsia="黑体"/>
          <w:sz w:val="32"/>
          <w:szCs w:val="32"/>
        </w:rPr>
        <w:t>五、房屋正房和世居农户（含在册人口）的认定：</w:t>
      </w:r>
      <w:r>
        <w:rPr>
          <w:rFonts w:hint="eastAsia" w:ascii="仿宋" w:hAnsi="仿宋" w:eastAsia="仿宋"/>
          <w:sz w:val="32"/>
          <w:szCs w:val="32"/>
        </w:rPr>
        <w:t>由实施单位根据实际情况确定，其中：正房指满足人口日常居住生活而一次性建成的合法建筑，具体指客厅、卧室、厨房、卫生间、封闭阳台等部分。二层及以上楼层未封闭阳台按该部分面积的一半计算正房面积，一层未封闭部分（包括仅用铝合金而无维护结构的封闭）不计正房面积。</w:t>
      </w:r>
    </w:p>
    <w:p>
      <w:pPr>
        <w:ind w:firstLine="707" w:firstLineChars="221"/>
        <w:rPr>
          <w:rFonts w:hint="eastAsia" w:ascii="仿宋" w:hAnsi="仿宋" w:eastAsia="仿宋"/>
          <w:sz w:val="32"/>
          <w:szCs w:val="32"/>
        </w:rPr>
      </w:pPr>
      <w:r>
        <w:rPr>
          <w:rFonts w:hint="eastAsia" w:ascii="黑体" w:hAnsi="黑体" w:eastAsia="黑体"/>
          <w:sz w:val="32"/>
          <w:szCs w:val="32"/>
        </w:rPr>
        <w:t>六、住改非的认定：</w:t>
      </w:r>
      <w:r>
        <w:rPr>
          <w:rFonts w:hint="eastAsia" w:ascii="仿宋" w:hAnsi="仿宋" w:eastAsia="仿宋"/>
          <w:sz w:val="32"/>
          <w:szCs w:val="32"/>
        </w:rPr>
        <w:t>住改非指的是由住房改建为经营性的临街（或主路）店面。认定条件有三：1.必须是住宅。2.以该住宅为地址办理营业执照。3.至启动征收时已连续经营两年以上，且现在仍在经营。</w:t>
      </w:r>
    </w:p>
    <w:p>
      <w:pPr>
        <w:ind w:firstLine="707" w:firstLineChars="221"/>
        <w:rPr>
          <w:rFonts w:ascii="仿宋" w:hAnsi="仿宋" w:eastAsia="仿宋"/>
          <w:sz w:val="32"/>
          <w:szCs w:val="32"/>
        </w:rPr>
      </w:pPr>
      <w:r>
        <w:rPr>
          <w:rFonts w:hint="eastAsia" w:ascii="黑体" w:hAnsi="黑体" w:eastAsia="黑体"/>
          <w:sz w:val="32"/>
          <w:szCs w:val="32"/>
        </w:rPr>
        <w:t>七、契税政策：</w:t>
      </w:r>
      <w:r>
        <w:rPr>
          <w:rFonts w:hint="eastAsia" w:ascii="仿宋" w:hAnsi="仿宋" w:eastAsia="仿宋"/>
          <w:sz w:val="32"/>
          <w:szCs w:val="32"/>
        </w:rPr>
        <w:t>该政策属一种优惠性政策，专门对选择货币补偿安置方式的被征收户在本县城区范围另行购买商品住房时，按其被征收正房补偿同等金额或同等面积抵缴所新购商品房总款金额（或面积）契税的一种政策，如被征收房屋有两个产权人，则每人仅能享受该房屋补偿款的二分之一，以此类推，且每人仅能凭此协议享受该正房补偿金额（或面积）减免一次，具体操作办法由税务机关相关规定执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28"/>
    <w:rsid w:val="000C28EC"/>
    <w:rsid w:val="000E7C7C"/>
    <w:rsid w:val="006D6075"/>
    <w:rsid w:val="00774D62"/>
    <w:rsid w:val="00A665EB"/>
    <w:rsid w:val="00BC2D7F"/>
    <w:rsid w:val="00CE02CC"/>
    <w:rsid w:val="00D65C28"/>
    <w:rsid w:val="41DD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986</Characters>
  <Lines>8</Lines>
  <Paragraphs>2</Paragraphs>
  <TotalTime>64</TotalTime>
  <ScaleCrop>false</ScaleCrop>
  <LinksUpToDate>false</LinksUpToDate>
  <CharactersWithSpaces>1156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2020-11-20T02:17:00Z</dcterms:created>
  <dc:creator>Administrator</dc:creator>
  <cp:lastModifiedBy>卧雪庄</cp:lastModifiedBy>
  <cp:lastPrinted>2020-11-20T03:09:00Z</cp:lastPrinted>
  <dcterms:modified xsi:type="dcterms:W3CDTF">2020-11-20T06:57:41Z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