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2200" w:firstLineChars="500"/>
        <w:jc w:val="both"/>
        <w:rPr>
          <w:rFonts w:hint="eastAsia" w:ascii="方正小标宋简体" w:hAnsi="方正小标宋简体" w:eastAsia="方正小标宋简体" w:cs="方正小标宋简体"/>
          <w:sz w:val="44"/>
          <w:szCs w:val="44"/>
        </w:rPr>
      </w:pPr>
      <w:r>
        <w:rPr>
          <w:rFonts w:hint="eastAsia" w:ascii="方正小标宋简体" w:eastAsia="方正小标宋简体" w:hAnsiTheme="minorEastAsia"/>
          <w:sz w:val="44"/>
          <w:szCs w:val="36"/>
        </w:rPr>
        <w:t>202</w:t>
      </w:r>
      <w:r>
        <w:rPr>
          <w:rFonts w:hint="eastAsia" w:ascii="方正小标宋简体" w:eastAsia="方正小标宋简体" w:hAnsiTheme="minorEastAsia"/>
          <w:sz w:val="44"/>
          <w:szCs w:val="36"/>
          <w:lang w:val="en-US" w:eastAsia="zh-CN"/>
        </w:rPr>
        <w:t>2</w:t>
      </w:r>
      <w:r>
        <w:rPr>
          <w:rFonts w:hint="eastAsia" w:ascii="方正小标宋简体" w:eastAsia="方正小标宋简体" w:hAnsiTheme="minorEastAsia"/>
          <w:sz w:val="44"/>
          <w:szCs w:val="36"/>
        </w:rPr>
        <w:t>年县</w:t>
      </w:r>
      <w:r>
        <w:rPr>
          <w:rFonts w:hint="eastAsia" w:ascii="方正小标宋简体" w:eastAsia="方正小标宋简体" w:hAnsiTheme="minorEastAsia"/>
          <w:sz w:val="44"/>
          <w:szCs w:val="36"/>
          <w:lang w:eastAsia="zh-CN"/>
        </w:rPr>
        <w:t>《</w:t>
      </w:r>
      <w:r>
        <w:rPr>
          <w:rFonts w:hint="eastAsia" w:ascii="方正小标宋简体" w:eastAsia="方正小标宋简体" w:hAnsiTheme="minorEastAsia"/>
          <w:sz w:val="44"/>
          <w:szCs w:val="36"/>
        </w:rPr>
        <w:t>政府工作报告</w:t>
      </w:r>
      <w:r>
        <w:rPr>
          <w:rFonts w:hint="eastAsia" w:ascii="方正小标宋简体" w:eastAsia="方正小标宋简体" w:hAnsiTheme="minorEastAsia"/>
          <w:sz w:val="44"/>
          <w:szCs w:val="36"/>
          <w:lang w:eastAsia="zh-CN"/>
        </w:rPr>
        <w:t>》</w:t>
      </w:r>
      <w:r>
        <w:rPr>
          <w:rFonts w:hint="eastAsia" w:ascii="方正小标宋简体" w:eastAsia="方正小标宋简体" w:cs="Times New Roman" w:hAnsiTheme="minorEastAsia"/>
          <w:kern w:val="0"/>
          <w:sz w:val="44"/>
          <w:szCs w:val="44"/>
        </w:rPr>
        <w:t>目标任务</w:t>
      </w:r>
      <w:r>
        <w:rPr>
          <w:rFonts w:hint="eastAsia" w:ascii="方正小标宋简体" w:hAnsi="方正小标宋简体" w:eastAsia="方正小标宋简体" w:cs="方正小标宋简体"/>
          <w:sz w:val="44"/>
          <w:szCs w:val="44"/>
          <w:lang w:eastAsia="zh-CN"/>
        </w:rPr>
        <w:t>进展情况</w:t>
      </w:r>
      <w:r>
        <w:rPr>
          <w:rFonts w:hint="eastAsia" w:ascii="方正小标宋简体" w:hAnsi="方正小标宋简体" w:eastAsia="方正小标宋简体" w:cs="方正小标宋简体"/>
          <w:sz w:val="44"/>
          <w:szCs w:val="44"/>
        </w:rPr>
        <w:t>表</w:t>
      </w:r>
    </w:p>
    <w:p>
      <w:pPr>
        <w:spacing w:line="560" w:lineRule="exact"/>
        <w:jc w:val="center"/>
        <w:rPr>
          <w:rFonts w:hint="eastAsia"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（共</w:t>
      </w:r>
      <w:r>
        <w:rPr>
          <w:rFonts w:hint="eastAsia" w:ascii="楷体_GB2312" w:hAnsi="楷体_GB2312" w:eastAsia="楷体_GB2312" w:cs="楷体_GB2312"/>
          <w:color w:val="000000"/>
          <w:kern w:val="0"/>
          <w:sz w:val="28"/>
          <w:szCs w:val="28"/>
          <w:lang w:eastAsia="zh-CN"/>
        </w:rPr>
        <w:t>八</w:t>
      </w:r>
      <w:r>
        <w:rPr>
          <w:rFonts w:hint="eastAsia" w:ascii="楷体_GB2312" w:hAnsi="楷体_GB2312" w:eastAsia="楷体_GB2312" w:cs="楷体_GB2312"/>
          <w:color w:val="000000"/>
          <w:kern w:val="0"/>
          <w:sz w:val="28"/>
          <w:szCs w:val="28"/>
        </w:rPr>
        <w:t>大项</w:t>
      </w:r>
      <w:r>
        <w:rPr>
          <w:rFonts w:ascii="楷体_GB2312" w:hAnsi="楷体_GB2312" w:eastAsia="楷体_GB2312" w:cs="楷体_GB2312"/>
          <w:color w:val="000000"/>
          <w:kern w:val="0"/>
          <w:sz w:val="28"/>
          <w:szCs w:val="28"/>
        </w:rPr>
        <w:t xml:space="preserve"> 1</w:t>
      </w:r>
      <w:r>
        <w:rPr>
          <w:rFonts w:hint="eastAsia" w:ascii="楷体_GB2312" w:hAnsi="楷体_GB2312" w:eastAsia="楷体_GB2312" w:cs="楷体_GB2312"/>
          <w:color w:val="000000"/>
          <w:kern w:val="0"/>
          <w:sz w:val="28"/>
          <w:szCs w:val="28"/>
          <w:lang w:val="en-US" w:eastAsia="zh-CN"/>
        </w:rPr>
        <w:t>67</w:t>
      </w:r>
      <w:r>
        <w:rPr>
          <w:rFonts w:hint="eastAsia" w:ascii="楷体_GB2312" w:hAnsi="楷体_GB2312" w:eastAsia="楷体_GB2312" w:cs="楷体_GB2312"/>
          <w:color w:val="000000"/>
          <w:kern w:val="0"/>
          <w:sz w:val="28"/>
          <w:szCs w:val="28"/>
        </w:rPr>
        <w:t>条）</w:t>
      </w:r>
    </w:p>
    <w:p>
      <w:pPr>
        <w:spacing w:line="560" w:lineRule="exact"/>
        <w:jc w:val="center"/>
        <w:rPr>
          <w:rFonts w:hint="eastAsia" w:ascii="楷体_GB2312" w:hAnsi="楷体_GB2312" w:eastAsia="楷体_GB2312" w:cs="楷体_GB2312"/>
          <w:color w:val="000000"/>
          <w:kern w:val="0"/>
          <w:sz w:val="28"/>
          <w:szCs w:val="28"/>
          <w:lang w:eastAsia="zh-CN"/>
        </w:rPr>
      </w:pPr>
    </w:p>
    <w:tbl>
      <w:tblPr>
        <w:tblStyle w:val="9"/>
        <w:tblW w:w="12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1196"/>
        <w:gridCol w:w="2599"/>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4981" w:type="dxa"/>
            <w:vAlign w:val="center"/>
          </w:tcPr>
          <w:p>
            <w:pPr>
              <w:spacing w:line="260" w:lineRule="exact"/>
              <w:ind w:right="60"/>
              <w:jc w:val="center"/>
              <w:rPr>
                <w:rFonts w:ascii="Times New Roman" w:hAnsi="Times New Roman" w:eastAsia="黑体" w:cs="Times New Roman"/>
                <w:color w:val="000000" w:themeColor="text1"/>
                <w:sz w:val="22"/>
                <w:szCs w:val="22"/>
                <w14:textFill>
                  <w14:solidFill>
                    <w14:schemeClr w14:val="tx1"/>
                  </w14:solidFill>
                </w14:textFill>
              </w:rPr>
            </w:pPr>
            <w:r>
              <w:rPr>
                <w:rFonts w:ascii="Times New Roman" w:hAnsi="黑体" w:eastAsia="黑体" w:cs="Times New Roman"/>
                <w:color w:val="000000" w:themeColor="text1"/>
                <w:sz w:val="22"/>
                <w:szCs w:val="22"/>
                <w14:textFill>
                  <w14:solidFill>
                    <w14:schemeClr w14:val="tx1"/>
                  </w14:solidFill>
                </w14:textFill>
              </w:rPr>
              <w:t>目标任务</w:t>
            </w:r>
          </w:p>
        </w:tc>
        <w:tc>
          <w:tcPr>
            <w:tcW w:w="1196" w:type="dxa"/>
            <w:vAlign w:val="center"/>
          </w:tcPr>
          <w:p>
            <w:pPr>
              <w:spacing w:line="260" w:lineRule="exact"/>
              <w:jc w:val="center"/>
              <w:rPr>
                <w:rFonts w:ascii="Times New Roman" w:hAnsi="黑体" w:eastAsia="黑体" w:cs="Times New Roman"/>
                <w:color w:val="000000" w:themeColor="text1"/>
                <w:sz w:val="22"/>
                <w:szCs w:val="22"/>
                <w14:textFill>
                  <w14:solidFill>
                    <w14:schemeClr w14:val="tx1"/>
                  </w14:solidFill>
                </w14:textFill>
              </w:rPr>
            </w:pPr>
            <w:r>
              <w:rPr>
                <w:rFonts w:hint="eastAsia" w:ascii="Times New Roman" w:hAnsi="黑体" w:eastAsia="黑体" w:cs="Times New Roman"/>
                <w:color w:val="000000" w:themeColor="text1"/>
                <w:sz w:val="22"/>
                <w:szCs w:val="22"/>
                <w14:textFill>
                  <w14:solidFill>
                    <w14:schemeClr w14:val="tx1"/>
                  </w14:solidFill>
                </w14:textFill>
              </w:rPr>
              <w:t>责任领导</w:t>
            </w:r>
          </w:p>
        </w:tc>
        <w:tc>
          <w:tcPr>
            <w:tcW w:w="2599" w:type="dxa"/>
            <w:vAlign w:val="center"/>
          </w:tcPr>
          <w:p>
            <w:pPr>
              <w:spacing w:line="260" w:lineRule="exact"/>
              <w:jc w:val="center"/>
              <w:rPr>
                <w:rFonts w:ascii="Times New Roman" w:hAnsi="Times New Roman" w:eastAsia="黑体" w:cs="Times New Roman"/>
                <w:color w:val="000000" w:themeColor="text1"/>
                <w:sz w:val="22"/>
                <w:szCs w:val="22"/>
                <w14:textFill>
                  <w14:solidFill>
                    <w14:schemeClr w14:val="tx1"/>
                  </w14:solidFill>
                </w14:textFill>
              </w:rPr>
            </w:pPr>
            <w:r>
              <w:rPr>
                <w:rFonts w:ascii="Times New Roman" w:hAnsi="黑体" w:eastAsia="黑体" w:cs="Times New Roman"/>
                <w:color w:val="000000" w:themeColor="text1"/>
                <w:sz w:val="22"/>
                <w:szCs w:val="22"/>
                <w14:textFill>
                  <w14:solidFill>
                    <w14:schemeClr w14:val="tx1"/>
                  </w14:solidFill>
                </w14:textFill>
              </w:rPr>
              <w:t>责任</w:t>
            </w:r>
            <w:r>
              <w:rPr>
                <w:rFonts w:hint="eastAsia" w:ascii="Times New Roman" w:hAnsi="黑体" w:eastAsia="黑体" w:cs="Times New Roman"/>
                <w:color w:val="000000" w:themeColor="text1"/>
                <w:sz w:val="22"/>
                <w:szCs w:val="22"/>
                <w14:textFill>
                  <w14:solidFill>
                    <w14:schemeClr w14:val="tx1"/>
                  </w14:solidFill>
                </w14:textFill>
              </w:rPr>
              <w:t>单位</w:t>
            </w:r>
          </w:p>
        </w:tc>
        <w:tc>
          <w:tcPr>
            <w:tcW w:w="3700" w:type="dxa"/>
            <w:vAlign w:val="center"/>
          </w:tcPr>
          <w:p>
            <w:pPr>
              <w:spacing w:line="260" w:lineRule="exact"/>
              <w:jc w:val="center"/>
              <w:rPr>
                <w:rFonts w:hint="default" w:ascii="Times New Roman" w:hAnsi="黑体" w:eastAsia="黑体" w:cs="Times New Roman"/>
                <w:color w:val="000000" w:themeColor="text1"/>
                <w:sz w:val="22"/>
                <w:szCs w:val="22"/>
                <w:lang w:val="en-US" w:eastAsia="zh-CN"/>
                <w14:textFill>
                  <w14:solidFill>
                    <w14:schemeClr w14:val="tx1"/>
                  </w14:solidFill>
                </w14:textFill>
              </w:rPr>
            </w:pPr>
            <w:r>
              <w:rPr>
                <w:rFonts w:hint="eastAsia" w:ascii="黑体" w:hAnsi="黑体" w:eastAsia="黑体" w:cs="黑体"/>
                <w:sz w:val="22"/>
                <w:szCs w:val="22"/>
              </w:rPr>
              <w:t>工作</w:t>
            </w:r>
            <w:r>
              <w:rPr>
                <w:rFonts w:hint="eastAsia" w:ascii="黑体" w:hAnsi="黑体" w:eastAsia="黑体" w:cs="黑体"/>
                <w:sz w:val="22"/>
                <w:szCs w:val="22"/>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776" w:type="dxa"/>
            <w:gridSpan w:val="3"/>
            <w:vAlign w:val="center"/>
          </w:tcPr>
          <w:p>
            <w:pPr>
              <w:spacing w:line="260" w:lineRule="exact"/>
              <w:rPr>
                <w:rFonts w:hint="eastAsia" w:ascii="楷体" w:hAnsi="楷体" w:eastAsia="楷体" w:cs="楷体"/>
                <w:b/>
                <w:bCs/>
                <w:i w:val="0"/>
                <w:color w:val="000000" w:themeColor="text1"/>
                <w:kern w:val="0"/>
                <w:sz w:val="22"/>
                <w:szCs w:val="22"/>
                <w:u w:val="none"/>
                <w:lang w:val="en-US" w:eastAsia="zh-CN" w:bidi="ar"/>
                <w14:textFill>
                  <w14:solidFill>
                    <w14:schemeClr w14:val="tx1"/>
                  </w14:solidFill>
                </w14:textFill>
              </w:rPr>
            </w:pPr>
            <w:r>
              <w:rPr>
                <w:rFonts w:hint="eastAsia" w:ascii="楷体" w:hAnsi="楷体" w:eastAsia="楷体" w:cs="楷体"/>
                <w:b/>
                <w:bCs/>
                <w:i w:val="0"/>
                <w:color w:val="000000" w:themeColor="text1"/>
                <w:kern w:val="0"/>
                <w:sz w:val="22"/>
                <w:szCs w:val="22"/>
                <w:u w:val="none"/>
                <w:lang w:val="en-US" w:eastAsia="zh-CN" w:bidi="ar"/>
                <w14:textFill>
                  <w14:solidFill>
                    <w14:schemeClr w14:val="tx1"/>
                  </w14:solidFill>
                </w14:textFill>
              </w:rPr>
              <w:t>3．完善社会治理体系。</w:t>
            </w:r>
          </w:p>
        </w:tc>
        <w:tc>
          <w:tcPr>
            <w:tcW w:w="3700" w:type="dxa"/>
            <w:vAlign w:val="center"/>
          </w:tcPr>
          <w:p>
            <w:pPr>
              <w:spacing w:line="260" w:lineRule="exact"/>
              <w:rPr>
                <w:rFonts w:hint="eastAsia" w:ascii="楷体" w:hAnsi="楷体" w:eastAsia="楷体" w:cs="楷体"/>
                <w:b/>
                <w:bCs/>
                <w:i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981" w:type="dxa"/>
            <w:vAlign w:val="center"/>
          </w:tcPr>
          <w:p>
            <w:pPr>
              <w:pStyle w:val="13"/>
              <w:numPr>
                <w:ilvl w:val="0"/>
                <w:numId w:val="0"/>
              </w:numPr>
              <w:spacing w:line="260" w:lineRule="exact"/>
              <w:ind w:leftChars="0" w:right="62" w:rightChars="0"/>
              <w:rPr>
                <w:rFonts w:hint="eastAsia" w:hAnsi="宋体"/>
                <w:bCs/>
                <w:color w:val="000000" w:themeColor="text1"/>
                <w:sz w:val="22"/>
                <w:szCs w:val="22"/>
                <w14:textFill>
                  <w14:solidFill>
                    <w14:schemeClr w14:val="tx1"/>
                  </w14:solidFill>
                </w14:textFill>
              </w:rPr>
            </w:pPr>
            <w:r>
              <w:rPr>
                <w:rFonts w:hint="eastAsia" w:hAnsi="宋体"/>
                <w:bCs/>
                <w:color w:val="000000" w:themeColor="text1"/>
                <w:sz w:val="22"/>
                <w:szCs w:val="22"/>
                <w:lang w:val="en-US" w:eastAsia="zh-CN"/>
                <w14:textFill>
                  <w14:solidFill>
                    <w14:schemeClr w14:val="tx1"/>
                  </w14:solidFill>
                </w14:textFill>
              </w:rPr>
              <w:t>146.续推动安全生产专项整治三年行动，开展大检查大排查大整治和“十大攻坚”行动，</w:t>
            </w:r>
            <w:r>
              <w:rPr>
                <w:rFonts w:hint="eastAsia" w:hAnsi="宋体"/>
                <w:bCs/>
                <w:color w:val="000000" w:themeColor="text1"/>
                <w:sz w:val="22"/>
                <w:szCs w:val="22"/>
                <w:lang w:val="zh-CN" w:eastAsia="zh-CN"/>
                <w14:textFill>
                  <w14:solidFill>
                    <w14:schemeClr w14:val="tx1"/>
                  </w14:solidFill>
                </w14:textFill>
              </w:rPr>
              <w:t>坚决杜绝重特大事故发生。</w:t>
            </w:r>
          </w:p>
        </w:tc>
        <w:tc>
          <w:tcPr>
            <w:tcW w:w="1196" w:type="dxa"/>
            <w:vAlign w:val="center"/>
          </w:tcPr>
          <w:p>
            <w:pPr>
              <w:jc w:val="center"/>
              <w:rPr>
                <w:rFonts w:ascii="Times New Roman" w:hAnsi="宋体" w:eastAsia="宋体" w:cs="Times New Roman"/>
                <w:bCs/>
                <w:color w:val="000000" w:themeColor="text1"/>
                <w:kern w:val="2"/>
                <w:sz w:val="22"/>
                <w:szCs w:val="22"/>
                <w:lang w:val="en-US" w:eastAsia="zh-CN" w:bidi="ar-SA"/>
                <w14:textFill>
                  <w14:solidFill>
                    <w14:schemeClr w14:val="tx1"/>
                  </w14:solidFill>
                </w14:textFill>
              </w:rPr>
            </w:pPr>
            <w:r>
              <w:rPr>
                <w:rFonts w:hint="eastAsia" w:ascii="Times New Roman" w:hAnsi="宋体" w:eastAsia="宋体" w:cs="Times New Roman"/>
                <w:bCs/>
                <w:color w:val="000000" w:themeColor="text1"/>
                <w:kern w:val="2"/>
                <w:sz w:val="22"/>
                <w:szCs w:val="22"/>
                <w:lang w:val="en-US" w:eastAsia="zh-CN" w:bidi="ar-SA"/>
                <w14:textFill>
                  <w14:solidFill>
                    <w14:schemeClr w14:val="tx1"/>
                  </w14:solidFill>
                </w14:textFill>
              </w:rPr>
              <w:t>周纬华</w:t>
            </w:r>
          </w:p>
        </w:tc>
        <w:tc>
          <w:tcPr>
            <w:tcW w:w="2599" w:type="dxa"/>
            <w:vAlign w:val="center"/>
          </w:tcPr>
          <w:p>
            <w:pPr>
              <w:spacing w:line="260" w:lineRule="exact"/>
              <w:jc w:val="center"/>
              <w:rPr>
                <w:rFonts w:hint="eastAsia" w:ascii="Times New Roman" w:hAnsi="宋体" w:cs="Times New Roman"/>
                <w:bCs/>
                <w:color w:val="000000" w:themeColor="text1"/>
                <w:sz w:val="22"/>
                <w:szCs w:val="22"/>
                <w:lang w:val="en-US" w:eastAsia="zh-CN"/>
                <w14:textFill>
                  <w14:solidFill>
                    <w14:schemeClr w14:val="tx1"/>
                  </w14:solidFill>
                </w14:textFill>
              </w:rPr>
            </w:pPr>
            <w:r>
              <w:rPr>
                <w:rFonts w:hint="eastAsia" w:ascii="Times New Roman" w:hAnsi="宋体" w:cs="Times New Roman"/>
                <w:bCs/>
                <w:color w:val="000000" w:themeColor="text1"/>
                <w:sz w:val="22"/>
                <w:szCs w:val="22"/>
                <w:lang w:val="en-US" w:eastAsia="zh-CN"/>
                <w14:textFill>
                  <w14:solidFill>
                    <w14:schemeClr w14:val="tx1"/>
                  </w14:solidFill>
                </w14:textFill>
              </w:rPr>
              <w:t>应急管理局</w:t>
            </w:r>
          </w:p>
          <w:p>
            <w:pPr>
              <w:spacing w:line="260" w:lineRule="exact"/>
              <w:jc w:val="center"/>
              <w:rPr>
                <w:rFonts w:hint="eastAsia" w:ascii="Times New Roman" w:hAnsi="宋体" w:cs="Times New Roman"/>
                <w:bCs/>
                <w:color w:val="000000" w:themeColor="text1"/>
                <w:sz w:val="22"/>
                <w:szCs w:val="22"/>
                <w:lang w:val="en-US" w:eastAsia="zh-CN"/>
                <w14:textFill>
                  <w14:solidFill>
                    <w14:schemeClr w14:val="tx1"/>
                  </w14:solidFill>
                </w14:textFill>
              </w:rPr>
            </w:pPr>
            <w:r>
              <w:rPr>
                <w:rFonts w:hint="eastAsia" w:ascii="Times New Roman" w:hAnsi="宋体" w:cs="Times New Roman"/>
                <w:bCs/>
                <w:color w:val="000000" w:themeColor="text1"/>
                <w:sz w:val="22"/>
                <w:szCs w:val="22"/>
                <w:lang w:val="en-US" w:eastAsia="zh-CN"/>
                <w14:textFill>
                  <w14:solidFill>
                    <w14:schemeClr w14:val="tx1"/>
                  </w14:solidFill>
                </w14:textFill>
              </w:rPr>
              <w:t>各乡（镇、场）</w:t>
            </w:r>
          </w:p>
        </w:tc>
        <w:tc>
          <w:tcPr>
            <w:tcW w:w="3700" w:type="dxa"/>
            <w:vAlign w:val="center"/>
          </w:tcPr>
          <w:p>
            <w:pPr>
              <w:spacing w:line="260" w:lineRule="exact"/>
              <w:ind w:firstLine="420" w:firstLineChars="200"/>
              <w:jc w:val="left"/>
              <w:rPr>
                <w:rFonts w:hint="eastAsia"/>
                <w:lang w:val="en-US" w:eastAsia="zh-CN"/>
              </w:rPr>
            </w:pPr>
            <w:r>
              <w:rPr>
                <w:rFonts w:hint="eastAsia"/>
                <w:lang w:val="en-US" w:eastAsia="zh-CN"/>
              </w:rPr>
              <w:t>2022年，县应急管理局按照国家、省、市专项整治三年行动工作部署，积极开展安全生产大检查大排查大整治和“十大攻坚”行动。</w:t>
            </w:r>
          </w:p>
          <w:p>
            <w:pPr>
              <w:spacing w:line="260" w:lineRule="exact"/>
              <w:ind w:firstLine="420" w:firstLineChars="200"/>
              <w:jc w:val="left"/>
              <w:rPr>
                <w:rFonts w:hint="eastAsia"/>
                <w:lang w:val="en-US" w:eastAsia="zh-CN"/>
              </w:rPr>
            </w:pPr>
            <w:r>
              <w:rPr>
                <w:rFonts w:hint="eastAsia"/>
                <w:lang w:val="en-US" w:eastAsia="zh-CN"/>
              </w:rPr>
              <w:t>一是通过深化非煤矿山、危险化学品、烟花爆竹专项整治工作，重点解决非煤矿山、烟花爆竹、危险化学品、工贸领域问题突出的隐患与短板，切实堵住安全生产漏洞，对重大安全隐患实行挂牌督办，对严重违法违规行为严格落实“四个一律”“五个一批”措施，持续对事故隐患进行全面清零，做到不走形式、不留盲点、不留死角。</w:t>
            </w:r>
          </w:p>
          <w:p>
            <w:pPr>
              <w:spacing w:line="260" w:lineRule="exact"/>
              <w:ind w:firstLine="420" w:firstLineChars="200"/>
              <w:jc w:val="left"/>
              <w:rPr>
                <w:rFonts w:hint="eastAsia"/>
                <w:lang w:val="en-US" w:eastAsia="zh-CN"/>
              </w:rPr>
            </w:pPr>
            <w:r>
              <w:rPr>
                <w:rFonts w:hint="eastAsia"/>
                <w:lang w:val="en-US" w:eastAsia="zh-CN"/>
              </w:rPr>
              <w:t>二是及时召开我县安全生产专项整治三年行动巩固提升阶段动员部署会，印发《德安县安全生产专项整治三年行动“巩固提升”攻坚战工作方案》，围绕“巩固提升”攻坚方案16个重点任务，县安委办印发了公共安全文化建设“巩固提升”攻坚战实施方案等7个子方案；安全生产专项整治三年行动“巩固提升”阶段开展以来，共检查企业（单位）1381家，发现隐患1316条，隐患整改1252条，约谈企业20家，责令停产整顿5家；行政处罚企业40家，罚款共计45.29万元。</w:t>
            </w:r>
          </w:p>
          <w:p>
            <w:pPr>
              <w:pStyle w:val="2"/>
              <w:jc w:val="left"/>
              <w:rPr>
                <w:rFonts w:hint="eastAsia"/>
                <w:lang w:val="en-US" w:eastAsia="zh-CN"/>
              </w:rPr>
            </w:pPr>
            <w:r>
              <w:rPr>
                <w:rFonts w:hint="eastAsia" w:asciiTheme="minorHAnsi" w:hAnsiTheme="minorHAnsi" w:eastAsiaTheme="minorEastAsia" w:cstheme="minorBidi"/>
                <w:kern w:val="2"/>
                <w:sz w:val="21"/>
                <w:szCs w:val="22"/>
                <w:lang w:val="en-US" w:eastAsia="zh-CN" w:bidi="ar-SA"/>
              </w:rPr>
              <w:t>三是1-12</w:t>
            </w:r>
            <w:bookmarkStart w:id="0" w:name="_GoBack"/>
            <w:bookmarkEnd w:id="0"/>
            <w:r>
              <w:rPr>
                <w:rFonts w:hint="eastAsia" w:asciiTheme="minorHAnsi" w:hAnsiTheme="minorHAnsi" w:eastAsiaTheme="minorEastAsia" w:cstheme="minorBidi"/>
                <w:kern w:val="2"/>
                <w:sz w:val="21"/>
                <w:szCs w:val="22"/>
                <w:lang w:val="en-US" w:eastAsia="zh-CN" w:bidi="ar-SA"/>
              </w:rPr>
              <w:t>月份，我县发生2起生产安全死亡事故，造成2人死亡；事故起数与死亡人数与2021年同期相比持平；</w:t>
            </w:r>
          </w:p>
        </w:tc>
      </w:tr>
    </w:tbl>
    <w:p>
      <w:pPr>
        <w:spacing w:line="600" w:lineRule="exact"/>
        <w:jc w:val="both"/>
        <w:rPr>
          <w:rFonts w:hint="eastAsia" w:ascii="仿宋" w:hAnsi="仿宋" w:eastAsia="仿宋"/>
          <w:sz w:val="32"/>
          <w:szCs w:val="32"/>
        </w:rPr>
      </w:pPr>
    </w:p>
    <w:p>
      <w:pPr>
        <w:rPr>
          <w:rFonts w:hint="eastAsia" w:ascii="仿宋" w:hAnsi="仿宋" w:eastAsia="仿宋"/>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NjkwMGM2OWFlNTc2MjE1MzVmYjU4OGUyODUxNjgifQ=="/>
  </w:docVars>
  <w:rsids>
    <w:rsidRoot w:val="007823DD"/>
    <w:rsid w:val="007823DD"/>
    <w:rsid w:val="008761AB"/>
    <w:rsid w:val="00C74807"/>
    <w:rsid w:val="019A41D5"/>
    <w:rsid w:val="02334227"/>
    <w:rsid w:val="03E3D2A4"/>
    <w:rsid w:val="0D057E99"/>
    <w:rsid w:val="0E932C17"/>
    <w:rsid w:val="14B3629A"/>
    <w:rsid w:val="151F0CC1"/>
    <w:rsid w:val="199C704D"/>
    <w:rsid w:val="1CEEBE02"/>
    <w:rsid w:val="1D3A63F8"/>
    <w:rsid w:val="23E47E97"/>
    <w:rsid w:val="28C25982"/>
    <w:rsid w:val="29F9796E"/>
    <w:rsid w:val="2AC38C3F"/>
    <w:rsid w:val="2B7B0816"/>
    <w:rsid w:val="2B9FEE72"/>
    <w:rsid w:val="2CFA434D"/>
    <w:rsid w:val="2EA67884"/>
    <w:rsid w:val="30C2736D"/>
    <w:rsid w:val="35D71030"/>
    <w:rsid w:val="37480A01"/>
    <w:rsid w:val="377DCB66"/>
    <w:rsid w:val="39647D41"/>
    <w:rsid w:val="39FD845F"/>
    <w:rsid w:val="3BFDB365"/>
    <w:rsid w:val="3D422F34"/>
    <w:rsid w:val="3DE995F5"/>
    <w:rsid w:val="3E3343D1"/>
    <w:rsid w:val="3F774809"/>
    <w:rsid w:val="3F9B7FD1"/>
    <w:rsid w:val="42D61604"/>
    <w:rsid w:val="486003D1"/>
    <w:rsid w:val="4BC1495E"/>
    <w:rsid w:val="4C4F2E67"/>
    <w:rsid w:val="4E5A4142"/>
    <w:rsid w:val="4FFECB13"/>
    <w:rsid w:val="51CD0EE9"/>
    <w:rsid w:val="56FE31EB"/>
    <w:rsid w:val="5AF93339"/>
    <w:rsid w:val="5BBB47CD"/>
    <w:rsid w:val="5CB26D37"/>
    <w:rsid w:val="5D2F39FB"/>
    <w:rsid w:val="5E3C366D"/>
    <w:rsid w:val="5EDF80D7"/>
    <w:rsid w:val="5EFFA94A"/>
    <w:rsid w:val="61B07986"/>
    <w:rsid w:val="667B0A30"/>
    <w:rsid w:val="66D3A7F9"/>
    <w:rsid w:val="69FFD591"/>
    <w:rsid w:val="6EBB5BFC"/>
    <w:rsid w:val="6F35327C"/>
    <w:rsid w:val="6F7FCA0D"/>
    <w:rsid w:val="79BF3D06"/>
    <w:rsid w:val="79DE20BE"/>
    <w:rsid w:val="7ACD9282"/>
    <w:rsid w:val="7AFFC84A"/>
    <w:rsid w:val="7BBF89A3"/>
    <w:rsid w:val="7DF62E31"/>
    <w:rsid w:val="7E379783"/>
    <w:rsid w:val="7EFF556C"/>
    <w:rsid w:val="7F7B2B98"/>
    <w:rsid w:val="7F7F4FA4"/>
    <w:rsid w:val="7FD12A4B"/>
    <w:rsid w:val="7FF465C6"/>
    <w:rsid w:val="9B8DDD23"/>
    <w:rsid w:val="9FBB6DFF"/>
    <w:rsid w:val="9FEE8310"/>
    <w:rsid w:val="A7F7AB52"/>
    <w:rsid w:val="AFF65C76"/>
    <w:rsid w:val="B3B7F537"/>
    <w:rsid w:val="BB7B3DFE"/>
    <w:rsid w:val="BB7DD687"/>
    <w:rsid w:val="D3FEDC19"/>
    <w:rsid w:val="D7660289"/>
    <w:rsid w:val="D7DFB07F"/>
    <w:rsid w:val="DDBE17A8"/>
    <w:rsid w:val="DDFCFC72"/>
    <w:rsid w:val="DF9B3985"/>
    <w:rsid w:val="DFA501D5"/>
    <w:rsid w:val="DFBBF80F"/>
    <w:rsid w:val="DFED4BCD"/>
    <w:rsid w:val="E3CE65D4"/>
    <w:rsid w:val="E7BFFCE2"/>
    <w:rsid w:val="EBFD312B"/>
    <w:rsid w:val="EECDE90D"/>
    <w:rsid w:val="EFEFDCCE"/>
    <w:rsid w:val="F51E9BB8"/>
    <w:rsid w:val="F5EF3758"/>
    <w:rsid w:val="F6D793D5"/>
    <w:rsid w:val="F6F79D6A"/>
    <w:rsid w:val="F75BECFB"/>
    <w:rsid w:val="F7F711A9"/>
    <w:rsid w:val="F7FB5FC3"/>
    <w:rsid w:val="FAFE5BFA"/>
    <w:rsid w:val="FDD319AF"/>
    <w:rsid w:val="FDD933CD"/>
    <w:rsid w:val="FDF23F69"/>
    <w:rsid w:val="FDF9F261"/>
    <w:rsid w:val="FE8E3C5E"/>
    <w:rsid w:val="FEEB5F9B"/>
    <w:rsid w:val="FFB3B624"/>
    <w:rsid w:val="FFBD6B71"/>
    <w:rsid w:val="FFBEB979"/>
    <w:rsid w:val="FFDD6F6C"/>
    <w:rsid w:val="FFEF4D8D"/>
    <w:rsid w:val="FFEF8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pPr>
      <w:ind w:firstLine="964" w:firstLineChars="200"/>
    </w:pPr>
    <w:rPr>
      <w:rFonts w:ascii="宋体" w:hAnsi="宋体" w:eastAsia="仿宋" w:cs="Times New Roman"/>
      <w:sz w:val="21"/>
      <w:szCs w:val="24"/>
    </w:rPr>
  </w:style>
  <w:style w:type="paragraph" w:styleId="3">
    <w:name w:val="Normal Indent"/>
    <w:basedOn w:val="1"/>
    <w:next w:val="1"/>
    <w:qFormat/>
    <w:uiPriority w:val="0"/>
    <w:pPr>
      <w:ind w:firstLine="420" w:firstLineChars="200"/>
    </w:pPr>
    <w:rPr>
      <w:rFonts w:eastAsia="仿宋"/>
      <w:sz w:val="32"/>
    </w:rPr>
  </w:style>
  <w:style w:type="paragraph" w:styleId="4">
    <w:name w:val="Body Text Indent"/>
    <w:basedOn w:val="1"/>
    <w:next w:val="3"/>
    <w:unhideWhenUsed/>
    <w:qFormat/>
    <w:uiPriority w:val="99"/>
    <w:pPr>
      <w:spacing w:after="120"/>
      <w:ind w:left="420" w:leftChars="200"/>
    </w:p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spacing w:val="-6"/>
      <w:sz w:val="32"/>
      <w:szCs w:val="20"/>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ind w:left="420" w:leftChars="200" w:firstLine="210"/>
    </w:pPr>
    <w:rPr>
      <w:rFonts w:ascii="Times New Roman" w:hAnsi="Times New Roman" w:eastAsia="宋体" w:cs="Times New Roman"/>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576</Words>
  <Characters>609</Characters>
  <Lines>2</Lines>
  <Paragraphs>1</Paragraphs>
  <TotalTime>13</TotalTime>
  <ScaleCrop>false</ScaleCrop>
  <LinksUpToDate>false</LinksUpToDate>
  <CharactersWithSpaces>610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2020-06-22T18:23:00Z</dcterms:created>
  <dc:creator>PC</dc:creator>
  <cp:lastModifiedBy>留白。</cp:lastModifiedBy>
  <dcterms:modified xsi:type="dcterms:W3CDTF">2023-02-23T02:42:57Z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9752C0A2DA3D447F8D7243E8015452FB</vt:lpwstr>
  </property>
</Properties>
</file>