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rPr>
        <w:t>年市</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政府工作报告</w:t>
      </w:r>
      <w:r>
        <w:rPr>
          <w:rFonts w:hint="eastAsia" w:ascii="方正小标宋简体" w:hAnsi="方正小标宋简体" w:eastAsia="方正小标宋简体" w:cs="方正小标宋简体"/>
          <w:sz w:val="44"/>
          <w:szCs w:val="44"/>
          <w:lang w:eastAsia="zh-CN"/>
        </w:rPr>
        <w:t>》涉及德安目标</w:t>
      </w:r>
      <w:r>
        <w:rPr>
          <w:rFonts w:hint="eastAsia" w:ascii="方正小标宋简体" w:hAnsi="方正小标宋简体" w:eastAsia="方正小标宋简体" w:cs="方正小标宋简体"/>
          <w:sz w:val="44"/>
          <w:szCs w:val="44"/>
        </w:rPr>
        <w:t>任务</w:t>
      </w:r>
      <w:r>
        <w:rPr>
          <w:rFonts w:hint="eastAsia" w:ascii="方正小标宋简体" w:hAnsi="方正小标宋简体" w:eastAsia="方正小标宋简体" w:cs="方正小标宋简体"/>
          <w:sz w:val="44"/>
          <w:szCs w:val="44"/>
          <w:lang w:eastAsia="zh-CN"/>
        </w:rPr>
        <w:t>进展情况</w:t>
      </w:r>
      <w:r>
        <w:rPr>
          <w:rFonts w:hint="eastAsia" w:ascii="方正小标宋简体" w:hAnsi="方正小标宋简体" w:eastAsia="方正小标宋简体" w:cs="方正小标宋简体"/>
          <w:sz w:val="44"/>
          <w:szCs w:val="44"/>
        </w:rPr>
        <w:t>表</w:t>
      </w:r>
      <w:r>
        <w:rPr>
          <w:rFonts w:hint="eastAsia" w:ascii="方正小标宋简体" w:hAnsi="方正小标宋简体" w:eastAsia="方正小标宋简体" w:cs="方正小标宋简体"/>
          <w:sz w:val="44"/>
          <w:szCs w:val="44"/>
          <w:lang w:eastAsia="zh-CN"/>
        </w:rPr>
        <w:t>（一季度）</w:t>
      </w:r>
    </w:p>
    <w:p>
      <w:pPr>
        <w:spacing w:line="560" w:lineRule="exact"/>
        <w:jc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（共八大项</w:t>
      </w:r>
      <w:r>
        <w:rPr>
          <w:rFonts w:ascii="楷体_GB2312" w:hAnsi="楷体_GB2312" w:eastAsia="楷体_GB2312" w:cs="楷体_GB2312"/>
          <w:color w:val="000000"/>
          <w:kern w:val="0"/>
          <w:sz w:val="28"/>
          <w:szCs w:val="28"/>
        </w:rPr>
        <w:t xml:space="preserve"> 1</w:t>
      </w:r>
      <w:r>
        <w:rPr>
          <w:rFonts w:hint="eastAsia" w:ascii="楷体_GB2312" w:hAnsi="楷体_GB2312" w:eastAsia="楷体_GB2312" w:cs="楷体_GB2312"/>
          <w:color w:val="000000"/>
          <w:kern w:val="0"/>
          <w:sz w:val="28"/>
          <w:szCs w:val="28"/>
          <w:lang w:val="en-US" w:eastAsia="zh-CN"/>
        </w:rPr>
        <w:t>05</w:t>
      </w:r>
      <w:r>
        <w:rPr>
          <w:rFonts w:hint="eastAsia" w:ascii="楷体_GB2312" w:hAnsi="楷体_GB2312" w:eastAsia="楷体_GB2312" w:cs="楷体_GB2312"/>
          <w:color w:val="000000"/>
          <w:kern w:val="0"/>
          <w:sz w:val="28"/>
          <w:szCs w:val="28"/>
        </w:rPr>
        <w:t>条）</w:t>
      </w:r>
    </w:p>
    <w:p/>
    <w:tbl>
      <w:tblPr>
        <w:tblStyle w:val="13"/>
        <w:tblW w:w="13902" w:type="dxa"/>
        <w:jc w:val="center"/>
        <w:tblLayout w:type="fixed"/>
        <w:tblCellMar>
          <w:top w:w="0" w:type="dxa"/>
          <w:left w:w="0" w:type="dxa"/>
          <w:bottom w:w="0" w:type="dxa"/>
          <w:right w:w="0" w:type="dxa"/>
        </w:tblCellMar>
      </w:tblPr>
      <w:tblGrid>
        <w:gridCol w:w="4630"/>
        <w:gridCol w:w="1183"/>
        <w:gridCol w:w="1731"/>
        <w:gridCol w:w="1440"/>
        <w:gridCol w:w="3842"/>
        <w:gridCol w:w="1076"/>
      </w:tblGrid>
      <w:tr>
        <w:tblPrEx>
          <w:tblCellMar>
            <w:top w:w="0" w:type="dxa"/>
            <w:left w:w="0" w:type="dxa"/>
            <w:bottom w:w="0" w:type="dxa"/>
            <w:right w:w="0" w:type="dxa"/>
          </w:tblCellMar>
        </w:tblPrEx>
        <w:trPr>
          <w:cantSplit/>
          <w:trHeight w:val="90" w:hRule="atLeast"/>
          <w:tblHeader/>
          <w:jc w:val="center"/>
        </w:trPr>
        <w:tc>
          <w:tcPr>
            <w:tcW w:w="4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ascii="Calibri" w:hAnsi="Calibri" w:eastAsia="黑体"/>
                <w:bCs/>
                <w:color w:val="000000"/>
                <w:sz w:val="22"/>
                <w:szCs w:val="22"/>
              </w:rPr>
            </w:pPr>
            <w:r>
              <w:rPr>
                <w:rFonts w:hint="eastAsia" w:ascii="Calibri" w:hAnsi="Calibri" w:eastAsia="黑体"/>
                <w:bCs/>
                <w:color w:val="000000"/>
                <w:sz w:val="22"/>
                <w:szCs w:val="22"/>
              </w:rPr>
              <w:t>目标任务</w:t>
            </w:r>
          </w:p>
        </w:tc>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ascii="Calibri" w:hAnsi="Calibri" w:eastAsia="黑体"/>
                <w:bCs/>
                <w:color w:val="000000"/>
                <w:sz w:val="22"/>
                <w:szCs w:val="22"/>
              </w:rPr>
            </w:pPr>
            <w:r>
              <w:rPr>
                <w:rFonts w:hint="eastAsia" w:ascii="Calibri" w:hAnsi="Calibri" w:eastAsia="黑体"/>
                <w:bCs/>
                <w:color w:val="000000"/>
                <w:sz w:val="22"/>
                <w:szCs w:val="22"/>
              </w:rPr>
              <w:t>责任领导</w:t>
            </w:r>
          </w:p>
        </w:tc>
        <w:tc>
          <w:tcPr>
            <w:tcW w:w="1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ascii="Calibri" w:hAnsi="Calibri" w:eastAsia="黑体"/>
                <w:bCs/>
                <w:color w:val="000000"/>
                <w:sz w:val="22"/>
                <w:szCs w:val="22"/>
              </w:rPr>
            </w:pPr>
            <w:r>
              <w:rPr>
                <w:rFonts w:hint="eastAsia" w:ascii="Calibri" w:hAnsi="Calibri" w:eastAsia="黑体"/>
                <w:bCs/>
                <w:color w:val="000000"/>
                <w:sz w:val="22"/>
                <w:szCs w:val="22"/>
              </w:rPr>
              <w:t>责任部门</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ascii="Calibri" w:hAnsi="Calibri" w:eastAsia="黑体"/>
                <w:bCs/>
                <w:color w:val="000000"/>
                <w:sz w:val="22"/>
                <w:szCs w:val="22"/>
              </w:rPr>
            </w:pPr>
            <w:r>
              <w:rPr>
                <w:rFonts w:hint="eastAsia" w:ascii="Calibri" w:hAnsi="Calibri" w:eastAsia="黑体"/>
                <w:bCs/>
                <w:color w:val="000000"/>
                <w:sz w:val="22"/>
                <w:szCs w:val="22"/>
              </w:rPr>
              <w:t>完成时限</w:t>
            </w:r>
          </w:p>
        </w:tc>
        <w:tc>
          <w:tcPr>
            <w:tcW w:w="3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Calibri" w:hAnsi="Calibri" w:eastAsia="黑体" w:cstheme="minorBidi"/>
                <w:bCs/>
                <w:color w:val="000000"/>
                <w:kern w:val="2"/>
                <w:sz w:val="22"/>
                <w:szCs w:val="22"/>
                <w:lang w:val="en-US" w:eastAsia="zh-CN" w:bidi="ar-SA"/>
              </w:rPr>
            </w:pPr>
            <w:r>
              <w:rPr>
                <w:rFonts w:hint="eastAsia" w:ascii="Calibri" w:hAnsi="Calibri" w:eastAsia="黑体"/>
                <w:bCs/>
                <w:color w:val="000000"/>
                <w:sz w:val="22"/>
                <w:szCs w:val="22"/>
                <w:lang w:val="en-US" w:eastAsia="zh-CN"/>
              </w:rPr>
              <w:t>一季度进展情况</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Calibri" w:hAnsi="Calibri" w:eastAsia="黑体" w:cstheme="minorBidi"/>
                <w:bCs/>
                <w:color w:val="000000"/>
                <w:kern w:val="2"/>
                <w:sz w:val="22"/>
                <w:szCs w:val="22"/>
                <w:lang w:val="en-US" w:eastAsia="zh-CN" w:bidi="ar-SA"/>
              </w:rPr>
            </w:pPr>
            <w:r>
              <w:rPr>
                <w:rFonts w:hint="eastAsia" w:ascii="Calibri" w:hAnsi="Calibri" w:eastAsia="黑体"/>
                <w:bCs/>
                <w:color w:val="000000"/>
                <w:sz w:val="22"/>
                <w:szCs w:val="22"/>
                <w:lang w:val="en-US" w:eastAsia="zh-CN"/>
              </w:rPr>
              <w:t>是否按序时进度推进</w:t>
            </w:r>
          </w:p>
        </w:tc>
      </w:tr>
      <w:tr>
        <w:tblPrEx>
          <w:tblCellMar>
            <w:top w:w="0" w:type="dxa"/>
            <w:left w:w="0" w:type="dxa"/>
            <w:bottom w:w="0" w:type="dxa"/>
            <w:right w:w="0" w:type="dxa"/>
          </w:tblCellMar>
        </w:tblPrEx>
        <w:trPr>
          <w:cantSplit/>
          <w:trHeight w:val="405" w:hRule="atLeast"/>
          <w:jc w:val="center"/>
        </w:trPr>
        <w:tc>
          <w:tcPr>
            <w:tcW w:w="89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40" w:firstLineChars="200"/>
              <w:jc w:val="both"/>
              <w:rPr>
                <w:rFonts w:ascii="黑体" w:hAnsi="宋体" w:eastAsia="黑体" w:cs="黑体"/>
                <w:color w:val="000000"/>
                <w:kern w:val="0"/>
                <w:sz w:val="22"/>
                <w:szCs w:val="22"/>
              </w:rPr>
            </w:pPr>
            <w:r>
              <w:rPr>
                <w:rFonts w:hint="eastAsia" w:ascii="黑体" w:hAnsi="宋体" w:eastAsia="黑体" w:cs="黑体"/>
                <w:color w:val="000000"/>
                <w:kern w:val="0"/>
                <w:sz w:val="22"/>
                <w:szCs w:val="22"/>
              </w:rPr>
              <w:t>一、</w:t>
            </w:r>
            <w:r>
              <w:rPr>
                <w:rFonts w:hint="eastAsia" w:ascii="黑体" w:hAnsi="宋体" w:eastAsia="黑体" w:cs="黑体"/>
                <w:b/>
                <w:bCs/>
                <w:color w:val="000000"/>
                <w:kern w:val="0"/>
                <w:sz w:val="22"/>
                <w:szCs w:val="22"/>
              </w:rPr>
              <w:t>经济社会发展主要预期目标</w:t>
            </w:r>
          </w:p>
        </w:tc>
        <w:tc>
          <w:tcPr>
            <w:tcW w:w="3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40" w:firstLineChars="200"/>
              <w:jc w:val="both"/>
              <w:rPr>
                <w:rFonts w:hint="eastAsia" w:ascii="黑体" w:hAnsi="宋体" w:eastAsia="黑体" w:cs="黑体"/>
                <w:color w:val="000000"/>
                <w:kern w:val="0"/>
                <w:sz w:val="22"/>
                <w:szCs w:val="22"/>
              </w:rPr>
            </w:pP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40" w:firstLineChars="200"/>
              <w:jc w:val="both"/>
              <w:rPr>
                <w:rFonts w:hint="eastAsia" w:ascii="黑体" w:hAnsi="宋体" w:eastAsia="黑体" w:cs="黑体"/>
                <w:color w:val="000000"/>
                <w:kern w:val="0"/>
                <w:sz w:val="22"/>
                <w:szCs w:val="22"/>
              </w:rPr>
            </w:pPr>
          </w:p>
        </w:tc>
      </w:tr>
      <w:tr>
        <w:tblPrEx>
          <w:tblCellMar>
            <w:top w:w="0" w:type="dxa"/>
            <w:left w:w="0" w:type="dxa"/>
            <w:bottom w:w="0" w:type="dxa"/>
            <w:right w:w="0" w:type="dxa"/>
          </w:tblCellMar>
        </w:tblPrEx>
        <w:trPr>
          <w:cantSplit/>
          <w:trHeight w:val="741" w:hRule="atLeast"/>
          <w:jc w:val="center"/>
        </w:trPr>
        <w:tc>
          <w:tcPr>
            <w:tcW w:w="4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ind w:firstLine="440" w:firstLineChars="200"/>
              <w:jc w:val="left"/>
              <w:textAlignment w:val="center"/>
              <w:rPr>
                <w:rFonts w:ascii="宋体" w:cs="宋体"/>
                <w:color w:val="000000"/>
                <w:sz w:val="22"/>
                <w:szCs w:val="22"/>
              </w:rPr>
            </w:pPr>
            <w:r>
              <w:rPr>
                <w:rFonts w:hint="eastAsia" w:ascii="宋体" w:hAnsi="宋体" w:cs="宋体"/>
                <w:color w:val="000000"/>
                <w:kern w:val="0"/>
                <w:sz w:val="22"/>
                <w:szCs w:val="22"/>
                <w:lang w:val="en-US" w:eastAsia="zh-CN"/>
              </w:rPr>
              <w:t>101.</w:t>
            </w:r>
            <w:r>
              <w:rPr>
                <w:rFonts w:hint="eastAsia" w:ascii="宋体" w:hAnsi="宋体" w:cs="宋体"/>
                <w:color w:val="000000"/>
                <w:kern w:val="0"/>
                <w:sz w:val="22"/>
                <w:szCs w:val="22"/>
              </w:rPr>
              <w:t>深入开展安全生产专项整治三年行动，坚决防止重特大事故发生</w:t>
            </w:r>
            <w:r>
              <w:rPr>
                <w:rStyle w:val="36"/>
                <w:rFonts w:hint="eastAsia" w:ascii="宋体" w:hAnsi="宋体" w:eastAsia="宋体" w:cs="宋体"/>
                <w:sz w:val="22"/>
                <w:szCs w:val="22"/>
              </w:rPr>
              <w:t>。</w:t>
            </w:r>
          </w:p>
        </w:tc>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朱学谦</w:t>
            </w:r>
          </w:p>
        </w:tc>
        <w:tc>
          <w:tcPr>
            <w:tcW w:w="1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应急管理局</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2021年12月31日</w:t>
            </w:r>
          </w:p>
        </w:tc>
        <w:tc>
          <w:tcPr>
            <w:tcW w:w="3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440" w:firstLineChars="200"/>
              <w:jc w:val="left"/>
              <w:textAlignment w:val="auto"/>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为切实做好全国“两会”期间安全生产工作，县政府在元旦、春节和全国“两会”前期各组织安排了1次安全生产大检查和督查。结合安全生产专项整治三年行动，参照《关于实施安全生产重点管理的通知》（德安生字〔2019〕10号）要求以及岁末年初百日行动“六大活动”要求，按照“谁管辖、谁负责，谁主管、谁负责、谁检查、谁负责，谁签字、谁负责”的原则，组成8个由县政府领导带队，主管部门牵头负责，其他相关部门配合的政府安全生产工作督查组，针对分管领域重点行业、重点企业的安全防范情况进行了全面督查。一季度以来，全县共开展督查检查55次，检查企业77家，排查发现安全隐患92处，整改92处，整改率100%，辨识风险173处，实施管控措施173条，上线率100%。行政处罚企业1家，警示约谈企业1家，罚款0.7万元。</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是</w:t>
            </w:r>
          </w:p>
        </w:tc>
      </w:tr>
      <w:tr>
        <w:tblPrEx>
          <w:tblCellMar>
            <w:top w:w="0" w:type="dxa"/>
            <w:left w:w="0" w:type="dxa"/>
            <w:bottom w:w="0" w:type="dxa"/>
            <w:right w:w="0" w:type="dxa"/>
          </w:tblCellMar>
        </w:tblPrEx>
        <w:trPr>
          <w:cantSplit/>
          <w:trHeight w:val="810" w:hRule="atLeast"/>
          <w:jc w:val="center"/>
        </w:trPr>
        <w:tc>
          <w:tcPr>
            <w:tcW w:w="4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ind w:firstLine="440" w:firstLineChars="200"/>
              <w:jc w:val="left"/>
              <w:textAlignment w:val="center"/>
              <w:rPr>
                <w:rFonts w:ascii="宋体" w:cs="宋体"/>
                <w:color w:val="000000"/>
                <w:sz w:val="22"/>
                <w:szCs w:val="22"/>
              </w:rPr>
            </w:pPr>
            <w:r>
              <w:rPr>
                <w:rFonts w:hint="eastAsia" w:ascii="宋体" w:hAnsi="宋体" w:cs="宋体"/>
                <w:color w:val="000000"/>
                <w:kern w:val="0"/>
                <w:sz w:val="22"/>
                <w:szCs w:val="22"/>
                <w:lang w:val="en-US" w:eastAsia="zh-CN"/>
              </w:rPr>
              <w:t>102.</w:t>
            </w:r>
            <w:r>
              <w:rPr>
                <w:rFonts w:hint="eastAsia" w:ascii="宋体" w:hAnsi="宋体" w:cs="宋体"/>
                <w:color w:val="000000"/>
                <w:kern w:val="0"/>
                <w:sz w:val="22"/>
                <w:szCs w:val="22"/>
              </w:rPr>
              <w:t>加快市应急指挥平台和应急物资储备库建设，全面提升应急管理能力</w:t>
            </w:r>
            <w:r>
              <w:rPr>
                <w:rStyle w:val="36"/>
                <w:rFonts w:hint="eastAsia" w:ascii="宋体" w:hAnsi="宋体" w:eastAsia="宋体" w:cs="宋体"/>
                <w:sz w:val="22"/>
                <w:szCs w:val="22"/>
              </w:rPr>
              <w:t>。</w:t>
            </w:r>
          </w:p>
        </w:tc>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朱学谦</w:t>
            </w:r>
          </w:p>
        </w:tc>
        <w:tc>
          <w:tcPr>
            <w:tcW w:w="1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应急管理局</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2021年12月31日</w:t>
            </w:r>
          </w:p>
        </w:tc>
        <w:tc>
          <w:tcPr>
            <w:tcW w:w="3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一是积极推进县应急管理指挥平台建设，利用物联网、大数据、云计算、5G通信应用，作为全县应急指挥枢纽、全县信息资源汇集和灾害信息报送中心，整合共享全县相关部门的灾害事故、救援力量、物资装备等，对上全面提供安全生产事故和自然灾害等态势感知数据，对下强化指导贯彻落实上级决策部署。构建县、乡联动的应急管理体系，打造统一指挥、专常兼备、反应灵敏、上下联动、平战结合的具有我县特色的应急管理机制，目前正在进行前期准备工作。</w:t>
            </w:r>
          </w:p>
          <w:p>
            <w:pPr>
              <w:spacing w:line="310" w:lineRule="exact"/>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是进一步建立全县统一的应急物资保障体系，强化应急管理部门统筹协调作用，进一步整合目前防汛、防火、防地灾物资储备，按照缺什么、补什么的要求备齐各类应急救灾物资，根据省、市的统一要求出台县本级集森林防火、防汛抗旱和灾害救助等物资为一体的综合性救灾物资储备库建设方案，并逐步推进工作。</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10" w:lineRule="exact"/>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是</w:t>
            </w:r>
          </w:p>
        </w:tc>
      </w:tr>
    </w:tbl>
    <w:p>
      <w:pPr>
        <w:keepNext w:val="0"/>
        <w:keepLines w:val="0"/>
        <w:pageBreakBefore w:val="0"/>
        <w:widowControl w:val="0"/>
        <w:kinsoku/>
        <w:wordWrap/>
        <w:overflowPunct/>
        <w:topLinePunct w:val="0"/>
        <w:autoSpaceDE/>
        <w:autoSpaceDN/>
        <w:bidi w:val="0"/>
        <w:adjustRightInd/>
        <w:snapToGrid/>
        <w:spacing w:line="360" w:lineRule="auto"/>
        <w:ind w:left="0" w:right="23" w:rightChars="11" w:hanging="480" w:hangingChars="200"/>
        <w:textAlignment w:val="auto"/>
        <w:rPr>
          <w:rFonts w:hint="eastAsia" w:ascii="楷体_GB2312" w:hAnsi="仿宋_GB2312" w:eastAsia="楷体_GB2312" w:cs="仿宋_GB2312"/>
          <w:sz w:val="24"/>
        </w:rPr>
      </w:pPr>
      <w:r>
        <w:rPr>
          <w:rFonts w:hint="eastAsia" w:ascii="楷体_GB2312" w:hAnsi="仿宋_GB2312" w:eastAsia="楷体_GB2312" w:cs="仿宋_GB2312"/>
          <w:sz w:val="24"/>
        </w:rPr>
        <w:t>注：责任单位后标注“牵头”字样的，该单位对本项目标任务负牵头抓总、统筹协调的职责，未标注的，各责任单位在职责范围内对本部门工作任务分别负责。</w:t>
      </w:r>
    </w:p>
    <w:p>
      <w:pPr>
        <w:spacing w:line="560" w:lineRule="exact"/>
        <w:jc w:val="center"/>
        <w:rPr>
          <w:rFonts w:hint="eastAsia" w:ascii="方正小标宋简体" w:eastAsia="方正小标宋简体" w:cs="Times New Roman" w:hAnsiTheme="minorEastAsia"/>
          <w:kern w:val="0"/>
          <w:sz w:val="44"/>
          <w:szCs w:val="44"/>
          <w:lang w:eastAsia="zh-CN"/>
        </w:rPr>
      </w:pPr>
      <w:r>
        <w:rPr>
          <w:rFonts w:hint="eastAsia" w:ascii="方正小标宋简体" w:eastAsia="方正小标宋简体" w:hAnsiTheme="minorEastAsia"/>
          <w:sz w:val="44"/>
          <w:szCs w:val="36"/>
        </w:rPr>
        <w:t>202</w:t>
      </w:r>
      <w:r>
        <w:rPr>
          <w:rFonts w:hint="eastAsia" w:ascii="方正小标宋简体" w:eastAsia="方正小标宋简体" w:hAnsiTheme="minorEastAsia"/>
          <w:sz w:val="44"/>
          <w:szCs w:val="36"/>
          <w:lang w:val="en-US" w:eastAsia="zh-CN"/>
        </w:rPr>
        <w:t>1</w:t>
      </w:r>
      <w:r>
        <w:rPr>
          <w:rFonts w:hint="eastAsia" w:ascii="方正小标宋简体" w:eastAsia="方正小标宋简体" w:hAnsiTheme="minorEastAsia"/>
          <w:sz w:val="44"/>
          <w:szCs w:val="36"/>
        </w:rPr>
        <w:t>年县</w:t>
      </w:r>
      <w:r>
        <w:rPr>
          <w:rFonts w:hint="eastAsia" w:ascii="方正小标宋简体" w:eastAsia="方正小标宋简体" w:hAnsiTheme="minorEastAsia"/>
          <w:sz w:val="44"/>
          <w:szCs w:val="36"/>
          <w:lang w:eastAsia="zh-CN"/>
        </w:rPr>
        <w:t>《</w:t>
      </w:r>
      <w:r>
        <w:rPr>
          <w:rFonts w:hint="eastAsia" w:ascii="方正小标宋简体" w:eastAsia="方正小标宋简体" w:hAnsiTheme="minorEastAsia"/>
          <w:sz w:val="44"/>
          <w:szCs w:val="36"/>
        </w:rPr>
        <w:t>政府工作报告</w:t>
      </w:r>
      <w:r>
        <w:rPr>
          <w:rFonts w:hint="eastAsia" w:ascii="方正小标宋简体" w:eastAsia="方正小标宋简体" w:hAnsiTheme="minorEastAsia"/>
          <w:sz w:val="44"/>
          <w:szCs w:val="36"/>
          <w:lang w:eastAsia="zh-CN"/>
        </w:rPr>
        <w:t>》</w:t>
      </w:r>
      <w:r>
        <w:rPr>
          <w:rFonts w:hint="eastAsia" w:ascii="方正小标宋简体" w:eastAsia="方正小标宋简体" w:cs="Times New Roman" w:hAnsiTheme="minorEastAsia"/>
          <w:kern w:val="0"/>
          <w:sz w:val="44"/>
          <w:szCs w:val="44"/>
        </w:rPr>
        <w:t>目标任务</w:t>
      </w:r>
      <w:r>
        <w:rPr>
          <w:rFonts w:hint="eastAsia" w:ascii="方正小标宋简体" w:hAnsi="方正小标宋简体" w:eastAsia="方正小标宋简体" w:cs="方正小标宋简体"/>
          <w:sz w:val="44"/>
          <w:szCs w:val="44"/>
          <w:lang w:eastAsia="zh-CN"/>
        </w:rPr>
        <w:t>进展情况</w:t>
      </w:r>
      <w:r>
        <w:rPr>
          <w:rFonts w:hint="eastAsia" w:ascii="方正小标宋简体" w:hAnsi="方正小标宋简体" w:eastAsia="方正小标宋简体" w:cs="方正小标宋简体"/>
          <w:sz w:val="44"/>
          <w:szCs w:val="44"/>
        </w:rPr>
        <w:t>表</w:t>
      </w:r>
      <w:r>
        <w:rPr>
          <w:rFonts w:hint="eastAsia" w:ascii="方正小标宋简体" w:hAnsi="方正小标宋简体" w:eastAsia="方正小标宋简体" w:cs="方正小标宋简体"/>
          <w:sz w:val="44"/>
          <w:szCs w:val="44"/>
          <w:lang w:eastAsia="zh-CN"/>
        </w:rPr>
        <w:t>（一季度）</w:t>
      </w:r>
    </w:p>
    <w:p>
      <w:pPr>
        <w:spacing w:line="560" w:lineRule="exact"/>
        <w:jc w:val="center"/>
        <w:rPr>
          <w:rFonts w:hint="eastAsia"/>
          <w:lang w:eastAsia="zh-CN"/>
        </w:rPr>
      </w:pPr>
      <w:r>
        <w:rPr>
          <w:rFonts w:hint="eastAsia" w:ascii="楷体_GB2312" w:hAnsi="楷体_GB2312" w:eastAsia="楷体_GB2312" w:cs="楷体_GB2312"/>
          <w:color w:val="000000"/>
          <w:kern w:val="0"/>
          <w:sz w:val="28"/>
          <w:szCs w:val="28"/>
        </w:rPr>
        <w:t>（共</w:t>
      </w:r>
      <w:r>
        <w:rPr>
          <w:rFonts w:hint="eastAsia" w:ascii="楷体_GB2312" w:hAnsi="楷体_GB2312" w:eastAsia="楷体_GB2312" w:cs="楷体_GB2312"/>
          <w:color w:val="000000"/>
          <w:kern w:val="0"/>
          <w:sz w:val="28"/>
          <w:szCs w:val="28"/>
          <w:lang w:eastAsia="zh-CN"/>
        </w:rPr>
        <w:t>六</w:t>
      </w:r>
      <w:r>
        <w:rPr>
          <w:rFonts w:hint="eastAsia" w:ascii="楷体_GB2312" w:hAnsi="楷体_GB2312" w:eastAsia="楷体_GB2312" w:cs="楷体_GB2312"/>
          <w:color w:val="000000"/>
          <w:kern w:val="0"/>
          <w:sz w:val="28"/>
          <w:szCs w:val="28"/>
        </w:rPr>
        <w:t>大项</w:t>
      </w:r>
      <w:r>
        <w:rPr>
          <w:rFonts w:ascii="楷体_GB2312" w:hAnsi="楷体_GB2312" w:eastAsia="楷体_GB2312" w:cs="楷体_GB2312"/>
          <w:color w:val="000000"/>
          <w:kern w:val="0"/>
          <w:sz w:val="28"/>
          <w:szCs w:val="28"/>
        </w:rPr>
        <w:t xml:space="preserve"> 1</w:t>
      </w:r>
      <w:r>
        <w:rPr>
          <w:rFonts w:hint="eastAsia" w:ascii="楷体_GB2312" w:hAnsi="楷体_GB2312" w:eastAsia="楷体_GB2312" w:cs="楷体_GB2312"/>
          <w:color w:val="000000"/>
          <w:kern w:val="0"/>
          <w:sz w:val="28"/>
          <w:szCs w:val="28"/>
          <w:lang w:val="en-US" w:eastAsia="zh-CN"/>
        </w:rPr>
        <w:t>21</w:t>
      </w:r>
      <w:r>
        <w:rPr>
          <w:rFonts w:hint="eastAsia" w:ascii="楷体_GB2312" w:hAnsi="楷体_GB2312" w:eastAsia="楷体_GB2312" w:cs="楷体_GB2312"/>
          <w:color w:val="000000"/>
          <w:kern w:val="0"/>
          <w:sz w:val="28"/>
          <w:szCs w:val="28"/>
        </w:rPr>
        <w:t>条）</w:t>
      </w:r>
    </w:p>
    <w:tbl>
      <w:tblPr>
        <w:tblStyle w:val="13"/>
        <w:tblW w:w="13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440"/>
        <w:gridCol w:w="1815"/>
        <w:gridCol w:w="1440"/>
        <w:gridCol w:w="382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jc w:val="center"/>
        </w:trPr>
        <w:tc>
          <w:tcPr>
            <w:tcW w:w="4130" w:type="dxa"/>
            <w:vAlign w:val="center"/>
          </w:tcPr>
          <w:p>
            <w:pPr>
              <w:spacing w:line="260" w:lineRule="exact"/>
              <w:ind w:right="60"/>
              <w:jc w:val="center"/>
              <w:rPr>
                <w:rFonts w:ascii="Times New Roman" w:hAnsi="Times New Roman" w:eastAsia="黑体" w:cs="Times New Roman"/>
                <w:sz w:val="22"/>
              </w:rPr>
            </w:pPr>
            <w:r>
              <w:rPr>
                <w:rFonts w:ascii="Times New Roman" w:hAnsi="黑体" w:eastAsia="黑体" w:cs="Times New Roman"/>
                <w:sz w:val="22"/>
              </w:rPr>
              <w:t>目标任务</w:t>
            </w:r>
          </w:p>
        </w:tc>
        <w:tc>
          <w:tcPr>
            <w:tcW w:w="1440" w:type="dxa"/>
            <w:vAlign w:val="center"/>
          </w:tcPr>
          <w:p>
            <w:pPr>
              <w:spacing w:line="260" w:lineRule="exact"/>
              <w:jc w:val="center"/>
              <w:rPr>
                <w:rFonts w:ascii="Times New Roman" w:hAnsi="黑体" w:eastAsia="黑体" w:cs="Times New Roman"/>
                <w:sz w:val="22"/>
              </w:rPr>
            </w:pPr>
            <w:r>
              <w:rPr>
                <w:rFonts w:hint="eastAsia" w:ascii="Times New Roman" w:hAnsi="黑体" w:eastAsia="黑体" w:cs="Times New Roman"/>
                <w:sz w:val="22"/>
              </w:rPr>
              <w:t>责任领导</w:t>
            </w:r>
          </w:p>
        </w:tc>
        <w:tc>
          <w:tcPr>
            <w:tcW w:w="1815" w:type="dxa"/>
            <w:vAlign w:val="center"/>
          </w:tcPr>
          <w:p>
            <w:pPr>
              <w:spacing w:line="260" w:lineRule="exact"/>
              <w:jc w:val="center"/>
              <w:rPr>
                <w:rFonts w:ascii="Times New Roman" w:hAnsi="Times New Roman" w:eastAsia="黑体" w:cs="Times New Roman"/>
                <w:sz w:val="22"/>
              </w:rPr>
            </w:pPr>
            <w:r>
              <w:rPr>
                <w:rFonts w:ascii="Times New Roman" w:hAnsi="黑体" w:eastAsia="黑体" w:cs="Times New Roman"/>
                <w:sz w:val="22"/>
              </w:rPr>
              <w:t>责任</w:t>
            </w:r>
            <w:r>
              <w:rPr>
                <w:rFonts w:hint="eastAsia" w:ascii="Times New Roman" w:hAnsi="黑体" w:eastAsia="黑体" w:cs="Times New Roman"/>
                <w:sz w:val="22"/>
              </w:rPr>
              <w:t>单位</w:t>
            </w:r>
          </w:p>
        </w:tc>
        <w:tc>
          <w:tcPr>
            <w:tcW w:w="1440" w:type="dxa"/>
            <w:vAlign w:val="center"/>
          </w:tcPr>
          <w:p>
            <w:pPr>
              <w:spacing w:line="260" w:lineRule="exact"/>
              <w:jc w:val="center"/>
              <w:rPr>
                <w:rFonts w:hint="eastAsia" w:eastAsia="黑体"/>
                <w:bCs/>
                <w:sz w:val="22"/>
                <w:lang w:eastAsia="zh-CN"/>
              </w:rPr>
            </w:pPr>
            <w:r>
              <w:rPr>
                <w:rFonts w:hint="eastAsia" w:eastAsia="黑体"/>
                <w:bCs/>
                <w:sz w:val="22"/>
                <w:lang w:eastAsia="zh-CN"/>
              </w:rPr>
              <w:t>完成时限</w:t>
            </w:r>
          </w:p>
        </w:tc>
        <w:tc>
          <w:tcPr>
            <w:tcW w:w="3824" w:type="dxa"/>
            <w:vAlign w:val="center"/>
          </w:tcPr>
          <w:p>
            <w:pPr>
              <w:spacing w:line="310" w:lineRule="exact"/>
              <w:jc w:val="center"/>
              <w:rPr>
                <w:rFonts w:hint="eastAsia" w:ascii="Calibri" w:hAnsi="Calibri" w:eastAsia="黑体" w:cstheme="minorBidi"/>
                <w:bCs/>
                <w:color w:val="000000"/>
                <w:kern w:val="2"/>
                <w:sz w:val="22"/>
                <w:szCs w:val="22"/>
                <w:lang w:val="en-US" w:eastAsia="zh-CN" w:bidi="ar-SA"/>
              </w:rPr>
            </w:pPr>
            <w:r>
              <w:rPr>
                <w:rFonts w:hint="eastAsia" w:ascii="Calibri" w:hAnsi="Calibri" w:eastAsia="黑体"/>
                <w:bCs/>
                <w:color w:val="000000"/>
                <w:sz w:val="22"/>
                <w:szCs w:val="22"/>
                <w:lang w:val="en-US" w:eastAsia="zh-CN"/>
              </w:rPr>
              <w:t>一季度进展情况</w:t>
            </w:r>
          </w:p>
        </w:tc>
        <w:tc>
          <w:tcPr>
            <w:tcW w:w="1205" w:type="dxa"/>
            <w:vAlign w:val="center"/>
          </w:tcPr>
          <w:p>
            <w:pPr>
              <w:spacing w:line="310" w:lineRule="exact"/>
              <w:jc w:val="center"/>
              <w:rPr>
                <w:rFonts w:hint="eastAsia" w:ascii="Calibri" w:hAnsi="Calibri" w:eastAsia="黑体" w:cstheme="minorBidi"/>
                <w:bCs/>
                <w:color w:val="000000"/>
                <w:kern w:val="2"/>
                <w:sz w:val="22"/>
                <w:szCs w:val="22"/>
                <w:lang w:val="en-US" w:eastAsia="zh-CN" w:bidi="ar-SA"/>
              </w:rPr>
            </w:pPr>
            <w:r>
              <w:rPr>
                <w:rFonts w:hint="eastAsia" w:ascii="Calibri" w:hAnsi="Calibri" w:eastAsia="黑体"/>
                <w:bCs/>
                <w:color w:val="000000"/>
                <w:sz w:val="22"/>
                <w:szCs w:val="22"/>
                <w:lang w:val="en-US" w:eastAsia="zh-CN"/>
              </w:rPr>
              <w:t>是否按序时进度推进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jc w:val="center"/>
        </w:trPr>
        <w:tc>
          <w:tcPr>
            <w:tcW w:w="4130" w:type="dxa"/>
            <w:vAlign w:val="center"/>
          </w:tcPr>
          <w:p>
            <w:pPr>
              <w:pStyle w:val="28"/>
              <w:numPr>
                <w:ilvl w:val="0"/>
                <w:numId w:val="0"/>
              </w:numPr>
              <w:spacing w:line="260" w:lineRule="exact"/>
              <w:ind w:leftChars="0" w:right="62" w:rightChars="0"/>
              <w:rPr>
                <w:rFonts w:hint="eastAsia" w:hAnsi="宋体"/>
                <w:bCs/>
                <w:color w:val="auto"/>
                <w:sz w:val="22"/>
                <w:szCs w:val="22"/>
              </w:rPr>
            </w:pPr>
            <w:r>
              <w:rPr>
                <w:rFonts w:hint="eastAsia" w:hAnsi="宋体"/>
                <w:bCs/>
                <w:color w:val="auto"/>
                <w:sz w:val="22"/>
                <w:szCs w:val="22"/>
                <w:lang w:val="en-US" w:eastAsia="zh-CN"/>
              </w:rPr>
              <w:t>110.</w:t>
            </w:r>
            <w:r>
              <w:rPr>
                <w:rFonts w:hint="eastAsia" w:hAnsi="宋体"/>
                <w:bCs/>
                <w:color w:val="auto"/>
                <w:sz w:val="22"/>
                <w:szCs w:val="22"/>
              </w:rPr>
              <w:t>完善和严格落实安全生产责任制，加强安全生产监管执法，深入开展安全生产专项整治三年行动。</w:t>
            </w:r>
          </w:p>
        </w:tc>
        <w:tc>
          <w:tcPr>
            <w:tcW w:w="1440" w:type="dxa"/>
            <w:vAlign w:val="center"/>
          </w:tcPr>
          <w:p>
            <w:pPr>
              <w:jc w:val="center"/>
              <w:rPr>
                <w:rFonts w:hint="eastAsia" w:ascii="Times New Roman" w:hAnsi="宋体" w:eastAsia="宋体" w:cs="Times New Roman"/>
                <w:bCs/>
                <w:kern w:val="2"/>
                <w:sz w:val="22"/>
                <w:szCs w:val="22"/>
                <w:lang w:val="en-US" w:eastAsia="zh-CN" w:bidi="ar-SA"/>
              </w:rPr>
            </w:pPr>
            <w:r>
              <w:rPr>
                <w:rFonts w:hint="eastAsia" w:ascii="Times New Roman" w:hAnsi="宋体" w:eastAsia="宋体" w:cs="Times New Roman"/>
                <w:bCs/>
                <w:kern w:val="2"/>
                <w:sz w:val="22"/>
                <w:szCs w:val="22"/>
                <w:lang w:val="en-US" w:eastAsia="zh-CN" w:bidi="ar-SA"/>
              </w:rPr>
              <w:t>朱学谦</w:t>
            </w:r>
          </w:p>
        </w:tc>
        <w:tc>
          <w:tcPr>
            <w:tcW w:w="1815" w:type="dxa"/>
            <w:vAlign w:val="center"/>
          </w:tcPr>
          <w:p>
            <w:pPr>
              <w:spacing w:line="260" w:lineRule="exact"/>
              <w:jc w:val="center"/>
              <w:rPr>
                <w:rFonts w:hint="eastAsia" w:ascii="Times New Roman" w:hAnsi="宋体" w:cs="Times New Roman"/>
                <w:bCs/>
                <w:sz w:val="22"/>
                <w:lang w:val="en-US" w:eastAsia="zh-CN"/>
              </w:rPr>
            </w:pPr>
            <w:r>
              <w:rPr>
                <w:rFonts w:hint="eastAsia" w:ascii="Times New Roman" w:hAnsi="宋体" w:cs="Times New Roman"/>
                <w:bCs/>
                <w:sz w:val="22"/>
                <w:lang w:val="en-US" w:eastAsia="zh-CN"/>
              </w:rPr>
              <w:t>应急管理局</w:t>
            </w:r>
          </w:p>
          <w:p>
            <w:pPr>
              <w:spacing w:line="260" w:lineRule="exact"/>
              <w:jc w:val="center"/>
              <w:rPr>
                <w:rFonts w:hint="eastAsia" w:ascii="Times New Roman" w:hAnsi="宋体" w:cs="Times New Roman"/>
                <w:bCs/>
                <w:sz w:val="22"/>
                <w:lang w:val="en-US" w:eastAsia="zh-CN"/>
              </w:rPr>
            </w:pPr>
            <w:r>
              <w:rPr>
                <w:rFonts w:hint="eastAsia" w:ascii="Times New Roman" w:hAnsi="宋体" w:cs="Times New Roman"/>
                <w:bCs/>
                <w:sz w:val="22"/>
                <w:lang w:val="en-US" w:eastAsia="zh-CN"/>
              </w:rPr>
              <w:t>各乡（镇、场）</w:t>
            </w:r>
          </w:p>
        </w:tc>
        <w:tc>
          <w:tcPr>
            <w:tcW w:w="1440" w:type="dxa"/>
            <w:vAlign w:val="center"/>
          </w:tcPr>
          <w:p>
            <w:pPr>
              <w:spacing w:line="260" w:lineRule="exact"/>
              <w:jc w:val="center"/>
              <w:rPr>
                <w:rFonts w:asciiTheme="minorEastAsia" w:hAnsiTheme="minorEastAsia" w:eastAsiaTheme="minorEastAsia" w:cstheme="minorEastAsia"/>
                <w:bCs/>
                <w:kern w:val="2"/>
                <w:sz w:val="22"/>
                <w:szCs w:val="22"/>
                <w:lang w:val="en-US" w:eastAsia="zh-CN" w:bidi="ar-SA"/>
              </w:rPr>
            </w:pPr>
            <w:r>
              <w:rPr>
                <w:rFonts w:ascii="Times New Roman" w:hAnsi="宋体" w:cs="Times New Roman"/>
                <w:bCs/>
                <w:sz w:val="22"/>
              </w:rPr>
              <w:t>2021</w:t>
            </w:r>
            <w:r>
              <w:rPr>
                <w:rFonts w:hint="eastAsia" w:ascii="Times New Roman" w:hAnsi="宋体" w:cs="Times New Roman"/>
                <w:bCs/>
                <w:sz w:val="22"/>
              </w:rPr>
              <w:t>年</w:t>
            </w:r>
            <w:r>
              <w:rPr>
                <w:rFonts w:ascii="Times New Roman" w:hAnsi="宋体" w:cs="Times New Roman"/>
                <w:bCs/>
                <w:sz w:val="22"/>
              </w:rPr>
              <w:t>12</w:t>
            </w:r>
            <w:r>
              <w:rPr>
                <w:rFonts w:hint="eastAsia" w:ascii="Times New Roman" w:hAnsi="宋体" w:cs="Times New Roman"/>
                <w:bCs/>
                <w:sz w:val="22"/>
              </w:rPr>
              <w:t>月</w:t>
            </w:r>
            <w:r>
              <w:rPr>
                <w:rFonts w:ascii="Times New Roman" w:hAnsi="宋体" w:cs="Times New Roman"/>
                <w:bCs/>
                <w:sz w:val="22"/>
              </w:rPr>
              <w:t>31</w:t>
            </w:r>
            <w:r>
              <w:rPr>
                <w:rFonts w:hint="eastAsia" w:ascii="Times New Roman" w:hAnsi="宋体" w:cs="Times New Roman"/>
                <w:bCs/>
                <w:sz w:val="22"/>
              </w:rPr>
              <w:t>日</w:t>
            </w:r>
          </w:p>
        </w:tc>
        <w:tc>
          <w:tcPr>
            <w:tcW w:w="3824" w:type="dxa"/>
            <w:vAlign w:val="center"/>
          </w:tcPr>
          <w:p>
            <w:pPr>
              <w:spacing w:line="260" w:lineRule="exact"/>
              <w:jc w:val="left"/>
            </w:pPr>
            <w:r>
              <w:rPr>
                <w:rFonts w:hint="eastAsia"/>
                <w:lang w:val="en-US" w:eastAsia="zh-CN"/>
              </w:rPr>
              <w:t>为切实做好全国“两会”期间安全生产工作，县政府在元旦、春节和全国“两会”前期各组织安排了1次安全生产大检查和督查。结合安全生产专项整治三年行动，参照《关于实施安全生产重点管理的通知》（德安生字〔2019〕10号）要求以及岁末年初百日行动“六大活动”要求，按照“谁管辖、谁负责，谁主管、谁负责、谁检查、谁负责，谁签字、谁负责”的原则，组成8个由县政府领导带队，主管部门牵头负责，其他相关部门配合的政府安全生产工作督查组，针对分管领域重点行业、重点企业的安全防范情况进行了全面督查。一季度以来，全县共开展督查检查55次，检查企业77家，排查发现安全隐患92处，整改92处，整改率100%，辨识风险173处，实施管控措施173条，上线率100%。行政处罚企业1家，警示约谈企业1家，罚款0.7万元。</w:t>
            </w:r>
          </w:p>
        </w:tc>
        <w:tc>
          <w:tcPr>
            <w:tcW w:w="1205" w:type="dxa"/>
            <w:vAlign w:val="center"/>
          </w:tcPr>
          <w:p>
            <w:pPr>
              <w:spacing w:line="260" w:lineRule="exact"/>
              <w:jc w:val="center"/>
              <w:rPr>
                <w:rFonts w:ascii="Times New Roman" w:hAnsi="宋体" w:cs="Times New Roman"/>
                <w:bCs/>
                <w:sz w:val="22"/>
              </w:rPr>
            </w:pPr>
            <w:r>
              <w:rPr>
                <w:rFonts w:hint="eastAsia" w:ascii="宋体" w:hAnsi="宋体" w:eastAsia="宋体" w:cs="宋体"/>
                <w:i w:val="0"/>
                <w:color w:val="000000"/>
                <w:sz w:val="22"/>
                <w:szCs w:val="22"/>
                <w:u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30" w:type="dxa"/>
            <w:vAlign w:val="center"/>
          </w:tcPr>
          <w:p>
            <w:pPr>
              <w:pStyle w:val="28"/>
              <w:numPr>
                <w:ilvl w:val="0"/>
                <w:numId w:val="0"/>
              </w:numPr>
              <w:spacing w:line="260" w:lineRule="exact"/>
              <w:ind w:leftChars="0" w:right="62" w:rightChars="0"/>
              <w:rPr>
                <w:rFonts w:hint="eastAsia" w:hAnsi="宋体"/>
                <w:bCs/>
                <w:color w:val="auto"/>
                <w:sz w:val="22"/>
                <w:szCs w:val="22"/>
              </w:rPr>
            </w:pPr>
            <w:r>
              <w:rPr>
                <w:rFonts w:hint="eastAsia" w:hAnsi="宋体"/>
                <w:bCs/>
                <w:color w:val="auto"/>
                <w:sz w:val="22"/>
                <w:szCs w:val="22"/>
                <w:lang w:val="en-US" w:eastAsia="zh-CN"/>
              </w:rPr>
              <w:t>111.</w:t>
            </w:r>
            <w:r>
              <w:rPr>
                <w:rFonts w:hint="eastAsia" w:hAnsi="宋体"/>
                <w:bCs/>
                <w:color w:val="auto"/>
                <w:sz w:val="22"/>
                <w:szCs w:val="22"/>
              </w:rPr>
              <w:t>完善应急管理体系，加强应急物资保障和现代化智慧应急体系建设，提高防灾减灾和抗灾救灾能力。</w:t>
            </w:r>
          </w:p>
        </w:tc>
        <w:tc>
          <w:tcPr>
            <w:tcW w:w="1440" w:type="dxa"/>
            <w:vAlign w:val="center"/>
          </w:tcPr>
          <w:p>
            <w:pPr>
              <w:jc w:val="center"/>
              <w:rPr>
                <w:rFonts w:hint="eastAsia" w:ascii="Times New Roman" w:hAnsi="宋体" w:eastAsia="宋体" w:cs="Times New Roman"/>
                <w:bCs/>
                <w:kern w:val="2"/>
                <w:sz w:val="22"/>
                <w:szCs w:val="22"/>
                <w:lang w:val="en-US" w:eastAsia="zh-CN" w:bidi="ar-SA"/>
              </w:rPr>
            </w:pPr>
            <w:r>
              <w:rPr>
                <w:rFonts w:hint="eastAsia" w:ascii="Times New Roman" w:hAnsi="宋体" w:eastAsia="宋体" w:cs="Times New Roman"/>
                <w:bCs/>
                <w:kern w:val="2"/>
                <w:sz w:val="22"/>
                <w:szCs w:val="22"/>
                <w:lang w:val="en-US" w:eastAsia="zh-CN" w:bidi="ar-SA"/>
              </w:rPr>
              <w:t>朱学谦</w:t>
            </w:r>
          </w:p>
        </w:tc>
        <w:tc>
          <w:tcPr>
            <w:tcW w:w="1815" w:type="dxa"/>
            <w:vAlign w:val="center"/>
          </w:tcPr>
          <w:p>
            <w:pPr>
              <w:spacing w:line="260" w:lineRule="exact"/>
              <w:jc w:val="center"/>
              <w:rPr>
                <w:rFonts w:hint="eastAsia" w:ascii="Times New Roman" w:hAnsi="宋体" w:cs="Times New Roman"/>
                <w:bCs/>
                <w:sz w:val="22"/>
                <w:lang w:val="en-US" w:eastAsia="zh-CN"/>
              </w:rPr>
            </w:pPr>
            <w:r>
              <w:rPr>
                <w:rFonts w:hint="eastAsia" w:ascii="Times New Roman" w:hAnsi="宋体" w:cs="Times New Roman"/>
                <w:bCs/>
                <w:sz w:val="22"/>
                <w:lang w:val="en-US" w:eastAsia="zh-CN"/>
              </w:rPr>
              <w:t>应急管理局</w:t>
            </w:r>
          </w:p>
        </w:tc>
        <w:tc>
          <w:tcPr>
            <w:tcW w:w="1440" w:type="dxa"/>
            <w:vAlign w:val="center"/>
          </w:tcPr>
          <w:p>
            <w:pPr>
              <w:spacing w:line="260" w:lineRule="exact"/>
              <w:jc w:val="center"/>
              <w:rPr>
                <w:rFonts w:asciiTheme="minorEastAsia" w:hAnsiTheme="minorEastAsia" w:eastAsiaTheme="minorEastAsia" w:cstheme="minorEastAsia"/>
                <w:bCs/>
                <w:kern w:val="2"/>
                <w:sz w:val="22"/>
                <w:szCs w:val="22"/>
                <w:lang w:val="en-US" w:eastAsia="zh-CN" w:bidi="ar-SA"/>
              </w:rPr>
            </w:pPr>
            <w:r>
              <w:rPr>
                <w:rFonts w:ascii="Times New Roman" w:hAnsi="宋体" w:cs="Times New Roman"/>
                <w:bCs/>
                <w:sz w:val="22"/>
              </w:rPr>
              <w:t>2021</w:t>
            </w:r>
            <w:r>
              <w:rPr>
                <w:rFonts w:hint="eastAsia" w:ascii="Times New Roman" w:hAnsi="宋体" w:cs="Times New Roman"/>
                <w:bCs/>
                <w:sz w:val="22"/>
              </w:rPr>
              <w:t>年</w:t>
            </w:r>
            <w:r>
              <w:rPr>
                <w:rFonts w:ascii="Times New Roman" w:hAnsi="宋体" w:cs="Times New Roman"/>
                <w:bCs/>
                <w:sz w:val="22"/>
              </w:rPr>
              <w:t>12</w:t>
            </w:r>
            <w:r>
              <w:rPr>
                <w:rFonts w:hint="eastAsia" w:ascii="Times New Roman" w:hAnsi="宋体" w:cs="Times New Roman"/>
                <w:bCs/>
                <w:sz w:val="22"/>
              </w:rPr>
              <w:t>月</w:t>
            </w:r>
            <w:r>
              <w:rPr>
                <w:rFonts w:ascii="Times New Roman" w:hAnsi="宋体" w:cs="Times New Roman"/>
                <w:bCs/>
                <w:sz w:val="22"/>
              </w:rPr>
              <w:t>31</w:t>
            </w:r>
            <w:r>
              <w:rPr>
                <w:rFonts w:hint="eastAsia" w:ascii="Times New Roman" w:hAnsi="宋体" w:cs="Times New Roman"/>
                <w:bCs/>
                <w:sz w:val="22"/>
              </w:rPr>
              <w:t>日</w:t>
            </w:r>
          </w:p>
        </w:tc>
        <w:tc>
          <w:tcPr>
            <w:tcW w:w="3824"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一是积极推进县应急管理指挥平台建设，构建县、乡联动的应急管理体系，打造统一指挥、专常兼备、反应灵敏、上下联动、平战结合的具有我县特色的应急管理机制，目前正在进行前期准备工作。</w:t>
            </w:r>
          </w:p>
          <w:p>
            <w:pPr>
              <w:keepNext w:val="0"/>
              <w:keepLines w:val="0"/>
              <w:pageBreakBefore w:val="0"/>
              <w:widowControl w:val="0"/>
              <w:kinsoku/>
              <w:wordWrap/>
              <w:overflowPunct/>
              <w:topLinePunct w:val="0"/>
              <w:autoSpaceDE/>
              <w:autoSpaceDN/>
              <w:bidi w:val="0"/>
              <w:adjustRightInd/>
              <w:snapToGrid/>
              <w:spacing w:line="220" w:lineRule="exact"/>
              <w:ind w:right="82" w:rightChars="39"/>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二</w:t>
            </w:r>
            <w:r>
              <w:rPr>
                <w:rFonts w:hint="eastAsia" w:ascii="宋体" w:hAnsi="宋体" w:eastAsia="宋体" w:cs="宋体"/>
                <w:color w:val="000000"/>
                <w:kern w:val="0"/>
                <w:sz w:val="21"/>
                <w:szCs w:val="21"/>
              </w:rPr>
              <w:t>是加强灾害防治综合体系建设。重点围绕危害较大的频发性、突发性气象灾害和地质灾害，开展重大气象灾害预警和地质灾害风险评估，加强地质灾害隐患点防范监测，健全预警预报工作机制，促进信息共享，及时发布预警信息。创新工作方法和技术手段，提高预警信息覆盖面和送达率，提升灾情信息管理工作水平。</w:t>
            </w:r>
          </w:p>
          <w:p>
            <w:pPr>
              <w:keepNext w:val="0"/>
              <w:keepLines w:val="0"/>
              <w:pageBreakBefore w:val="0"/>
              <w:widowControl w:val="0"/>
              <w:kinsoku/>
              <w:wordWrap/>
              <w:overflowPunct/>
              <w:topLinePunct w:val="0"/>
              <w:autoSpaceDE/>
              <w:autoSpaceDN/>
              <w:bidi w:val="0"/>
              <w:adjustRightInd/>
              <w:snapToGrid/>
              <w:spacing w:line="220" w:lineRule="exact"/>
              <w:ind w:right="82" w:rightChars="39"/>
              <w:textAlignment w:val="auto"/>
              <w:rPr>
                <w:rFonts w:hint="eastAsia"/>
                <w:sz w:val="20"/>
                <w:szCs w:val="21"/>
                <w:lang w:val="en-US" w:eastAsia="zh-CN"/>
              </w:rPr>
            </w:pPr>
            <w:r>
              <w:rPr>
                <w:rFonts w:hint="eastAsia" w:ascii="宋体" w:hAnsi="宋体" w:eastAsia="宋体" w:cs="宋体"/>
                <w:color w:val="000000"/>
                <w:kern w:val="0"/>
                <w:sz w:val="21"/>
                <w:szCs w:val="21"/>
                <w:lang w:eastAsia="zh-CN"/>
              </w:rPr>
              <w:t>三</w:t>
            </w:r>
            <w:r>
              <w:rPr>
                <w:rFonts w:hint="eastAsia" w:ascii="宋体" w:hAnsi="宋体" w:eastAsia="宋体" w:cs="宋体"/>
                <w:color w:val="000000"/>
                <w:kern w:val="0"/>
                <w:sz w:val="21"/>
                <w:szCs w:val="21"/>
              </w:rPr>
              <w:t>是大力实施重点工程项目建设。稳步推进地质灾害隐患治理等民生工程建设，努力减轻次生性、衍生性灾害发生频次和灾害后果，结合地理条件情况，以防灾救灾物资仓库建设为重点，继续推进应急救灾物资储备体系建设，全面提升救灾物资应急保障能力，建设符合当地实际的避灾避险工程，提升城乡基层防灾减灾和应急避灾能力。</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textAlignment w:val="auto"/>
              <w:rPr>
                <w:rFonts w:hint="eastAsia"/>
                <w:sz w:val="20"/>
                <w:szCs w:val="21"/>
                <w:lang w:val="en-US" w:eastAsia="zh-CN"/>
              </w:rPr>
            </w:pPr>
            <w:r>
              <w:rPr>
                <w:rFonts w:hint="eastAsia" w:ascii="宋体" w:hAnsi="宋体" w:cs="宋体"/>
                <w:i w:val="0"/>
                <w:color w:val="000000"/>
                <w:sz w:val="21"/>
                <w:szCs w:val="21"/>
                <w:u w:val="none"/>
                <w:lang w:val="en-US" w:eastAsia="zh-CN"/>
              </w:rPr>
              <w:t>四是2020年向上级争取自然灾害防治体系建设资金368万元，用</w:t>
            </w:r>
            <w:r>
              <w:rPr>
                <w:rFonts w:hint="eastAsia"/>
                <w:sz w:val="20"/>
                <w:szCs w:val="21"/>
              </w:rPr>
              <w:t>于支持我县抢险救援装备配备和备灾能力建设，进一步提高我县水域救援、城市排涝和快速救援能力，</w:t>
            </w:r>
            <w:r>
              <w:rPr>
                <w:rFonts w:hint="eastAsia" w:ascii="宋体" w:hAnsi="宋体" w:cs="宋体"/>
                <w:i w:val="0"/>
                <w:color w:val="000000"/>
                <w:sz w:val="21"/>
                <w:szCs w:val="21"/>
                <w:u w:val="none"/>
                <w:lang w:val="en-US" w:eastAsia="zh-CN"/>
              </w:rPr>
              <w:t>其中生活救灾类物资139.11万元，防汛抢险类物资107.74万元，自然灾害救援基地设备121.15万元，目前相关减灾救灾正在招标采购。</w:t>
            </w:r>
          </w:p>
          <w:p>
            <w:pPr>
              <w:spacing w:line="260" w:lineRule="exact"/>
              <w:jc w:val="center"/>
              <w:rPr>
                <w:rFonts w:ascii="Times New Roman" w:hAnsi="宋体" w:cs="Times New Roman"/>
                <w:bCs/>
                <w:sz w:val="22"/>
              </w:rPr>
            </w:pPr>
          </w:p>
        </w:tc>
        <w:tc>
          <w:tcPr>
            <w:tcW w:w="1205" w:type="dxa"/>
            <w:vAlign w:val="center"/>
          </w:tcPr>
          <w:p>
            <w:pPr>
              <w:spacing w:line="260" w:lineRule="exact"/>
              <w:jc w:val="center"/>
              <w:rPr>
                <w:rFonts w:ascii="Times New Roman" w:hAnsi="宋体" w:cs="Times New Roman"/>
                <w:bCs/>
                <w:sz w:val="22"/>
              </w:rPr>
            </w:pPr>
            <w:r>
              <w:rPr>
                <w:rFonts w:hint="eastAsia" w:ascii="宋体" w:hAnsi="宋体" w:eastAsia="宋体" w:cs="宋体"/>
                <w:i w:val="0"/>
                <w:color w:val="000000"/>
                <w:sz w:val="22"/>
                <w:szCs w:val="22"/>
                <w:u w:val="none"/>
                <w:lang w:val="en-US" w:eastAsia="zh-CN"/>
              </w:rPr>
              <w:t>是</w:t>
            </w:r>
          </w:p>
        </w:tc>
      </w:tr>
    </w:tbl>
    <w:p>
      <w:pPr>
        <w:rPr>
          <w:rFonts w:ascii="仿宋" w:hAnsi="仿宋" w:eastAsia="仿宋"/>
          <w:sz w:val="32"/>
          <w:szCs w:val="32"/>
        </w:rPr>
      </w:pPr>
      <w:bookmarkStart w:id="0" w:name="_GoBack"/>
      <w:bookmarkEnd w:id="0"/>
    </w:p>
    <w:sectPr>
      <w:footerReference r:id="rId3" w:type="default"/>
      <w:pgSz w:w="16838" w:h="11906" w:orient="landscape"/>
      <w:pgMar w:top="1588" w:right="1440" w:bottom="1588"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55499"/>
      <w:docPartObj>
        <w:docPartGallery w:val="autotext"/>
      </w:docPartObj>
    </w:sdtPr>
    <w:sdtContent>
      <w:p>
        <w:pPr>
          <w:pStyle w:val="8"/>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30"/>
    <w:rsid w:val="000074D3"/>
    <w:rsid w:val="000131E6"/>
    <w:rsid w:val="0004229B"/>
    <w:rsid w:val="00044443"/>
    <w:rsid w:val="00066568"/>
    <w:rsid w:val="000A2DCE"/>
    <w:rsid w:val="000A5E61"/>
    <w:rsid w:val="000B4C82"/>
    <w:rsid w:val="000B6AB7"/>
    <w:rsid w:val="000F51A0"/>
    <w:rsid w:val="00131644"/>
    <w:rsid w:val="00135013"/>
    <w:rsid w:val="00137CAE"/>
    <w:rsid w:val="00141D65"/>
    <w:rsid w:val="00146629"/>
    <w:rsid w:val="0015384A"/>
    <w:rsid w:val="00155815"/>
    <w:rsid w:val="00174078"/>
    <w:rsid w:val="001857D0"/>
    <w:rsid w:val="00186873"/>
    <w:rsid w:val="00196806"/>
    <w:rsid w:val="001B038C"/>
    <w:rsid w:val="001B1DD1"/>
    <w:rsid w:val="001C1944"/>
    <w:rsid w:val="001E0BBF"/>
    <w:rsid w:val="0021693B"/>
    <w:rsid w:val="00221CED"/>
    <w:rsid w:val="002236F2"/>
    <w:rsid w:val="002465F3"/>
    <w:rsid w:val="00246C2E"/>
    <w:rsid w:val="002703C5"/>
    <w:rsid w:val="002975A7"/>
    <w:rsid w:val="002A53E9"/>
    <w:rsid w:val="002B0A22"/>
    <w:rsid w:val="002C1C89"/>
    <w:rsid w:val="00300190"/>
    <w:rsid w:val="00301F79"/>
    <w:rsid w:val="00305113"/>
    <w:rsid w:val="00355CFA"/>
    <w:rsid w:val="00364DB3"/>
    <w:rsid w:val="00375E0F"/>
    <w:rsid w:val="00383DB3"/>
    <w:rsid w:val="003C4076"/>
    <w:rsid w:val="003E28F3"/>
    <w:rsid w:val="003F1442"/>
    <w:rsid w:val="0040047E"/>
    <w:rsid w:val="00401AC4"/>
    <w:rsid w:val="00411490"/>
    <w:rsid w:val="00414852"/>
    <w:rsid w:val="00424BFF"/>
    <w:rsid w:val="00425345"/>
    <w:rsid w:val="004466C2"/>
    <w:rsid w:val="0045231C"/>
    <w:rsid w:val="00464A7D"/>
    <w:rsid w:val="00464D7D"/>
    <w:rsid w:val="004755B5"/>
    <w:rsid w:val="00475782"/>
    <w:rsid w:val="00492FE5"/>
    <w:rsid w:val="004B1D5F"/>
    <w:rsid w:val="004B1E20"/>
    <w:rsid w:val="004C0681"/>
    <w:rsid w:val="004C126A"/>
    <w:rsid w:val="004D1600"/>
    <w:rsid w:val="004F539C"/>
    <w:rsid w:val="00520CE2"/>
    <w:rsid w:val="00571C1D"/>
    <w:rsid w:val="00575D38"/>
    <w:rsid w:val="005A4465"/>
    <w:rsid w:val="005B33D0"/>
    <w:rsid w:val="005B6D86"/>
    <w:rsid w:val="005B734E"/>
    <w:rsid w:val="005B7E39"/>
    <w:rsid w:val="005C6B43"/>
    <w:rsid w:val="005C70FD"/>
    <w:rsid w:val="005D11EA"/>
    <w:rsid w:val="005E44FA"/>
    <w:rsid w:val="0060135D"/>
    <w:rsid w:val="00660535"/>
    <w:rsid w:val="006631EB"/>
    <w:rsid w:val="006662E2"/>
    <w:rsid w:val="00685429"/>
    <w:rsid w:val="00697870"/>
    <w:rsid w:val="006A26CE"/>
    <w:rsid w:val="006B379F"/>
    <w:rsid w:val="006C49F1"/>
    <w:rsid w:val="006C79F5"/>
    <w:rsid w:val="006D0F54"/>
    <w:rsid w:val="006D2123"/>
    <w:rsid w:val="006E0799"/>
    <w:rsid w:val="0071706C"/>
    <w:rsid w:val="00724509"/>
    <w:rsid w:val="00724B06"/>
    <w:rsid w:val="00731A29"/>
    <w:rsid w:val="007341B6"/>
    <w:rsid w:val="00741DDD"/>
    <w:rsid w:val="00745E90"/>
    <w:rsid w:val="00754648"/>
    <w:rsid w:val="0077249F"/>
    <w:rsid w:val="00785DFE"/>
    <w:rsid w:val="00785E94"/>
    <w:rsid w:val="00790001"/>
    <w:rsid w:val="007936EB"/>
    <w:rsid w:val="00795667"/>
    <w:rsid w:val="007B1B33"/>
    <w:rsid w:val="007D6110"/>
    <w:rsid w:val="007E13D9"/>
    <w:rsid w:val="007F4F81"/>
    <w:rsid w:val="007F5D9F"/>
    <w:rsid w:val="008177D0"/>
    <w:rsid w:val="00830B24"/>
    <w:rsid w:val="008374D6"/>
    <w:rsid w:val="008450F3"/>
    <w:rsid w:val="00861099"/>
    <w:rsid w:val="008A0E6A"/>
    <w:rsid w:val="008D7169"/>
    <w:rsid w:val="008E1BAD"/>
    <w:rsid w:val="008F16D2"/>
    <w:rsid w:val="00902B3D"/>
    <w:rsid w:val="009056F9"/>
    <w:rsid w:val="00937E93"/>
    <w:rsid w:val="009417EE"/>
    <w:rsid w:val="00944FE4"/>
    <w:rsid w:val="00945046"/>
    <w:rsid w:val="00961C91"/>
    <w:rsid w:val="009715B1"/>
    <w:rsid w:val="009921B1"/>
    <w:rsid w:val="009960E7"/>
    <w:rsid w:val="009A0A47"/>
    <w:rsid w:val="009A7C6D"/>
    <w:rsid w:val="009D4FE4"/>
    <w:rsid w:val="009E2A40"/>
    <w:rsid w:val="009E31BA"/>
    <w:rsid w:val="009F20D3"/>
    <w:rsid w:val="00A04332"/>
    <w:rsid w:val="00A53572"/>
    <w:rsid w:val="00A60692"/>
    <w:rsid w:val="00A75A0D"/>
    <w:rsid w:val="00A81A86"/>
    <w:rsid w:val="00A93A94"/>
    <w:rsid w:val="00AA253E"/>
    <w:rsid w:val="00AA75D5"/>
    <w:rsid w:val="00AB2FAD"/>
    <w:rsid w:val="00AD1514"/>
    <w:rsid w:val="00AE3109"/>
    <w:rsid w:val="00AF37F4"/>
    <w:rsid w:val="00B12356"/>
    <w:rsid w:val="00B13C2A"/>
    <w:rsid w:val="00B16AF3"/>
    <w:rsid w:val="00B3178B"/>
    <w:rsid w:val="00B524FF"/>
    <w:rsid w:val="00B7122E"/>
    <w:rsid w:val="00B96D7C"/>
    <w:rsid w:val="00BA5D37"/>
    <w:rsid w:val="00BC6489"/>
    <w:rsid w:val="00BD2248"/>
    <w:rsid w:val="00BE1873"/>
    <w:rsid w:val="00BE24CB"/>
    <w:rsid w:val="00BF0748"/>
    <w:rsid w:val="00C20E60"/>
    <w:rsid w:val="00C44D67"/>
    <w:rsid w:val="00C80D34"/>
    <w:rsid w:val="00CB37C1"/>
    <w:rsid w:val="00D1268F"/>
    <w:rsid w:val="00D34834"/>
    <w:rsid w:val="00D622E9"/>
    <w:rsid w:val="00D6633C"/>
    <w:rsid w:val="00D91D30"/>
    <w:rsid w:val="00DA616A"/>
    <w:rsid w:val="00DB2E22"/>
    <w:rsid w:val="00E1028F"/>
    <w:rsid w:val="00E12F52"/>
    <w:rsid w:val="00E211A3"/>
    <w:rsid w:val="00E21337"/>
    <w:rsid w:val="00E2790D"/>
    <w:rsid w:val="00E56666"/>
    <w:rsid w:val="00E629D0"/>
    <w:rsid w:val="00E658A0"/>
    <w:rsid w:val="00E81752"/>
    <w:rsid w:val="00EA190E"/>
    <w:rsid w:val="00EA47DF"/>
    <w:rsid w:val="00F002C9"/>
    <w:rsid w:val="00F223B0"/>
    <w:rsid w:val="00F57054"/>
    <w:rsid w:val="00F8403E"/>
    <w:rsid w:val="00F91D75"/>
    <w:rsid w:val="00FA7625"/>
    <w:rsid w:val="00FA7CEF"/>
    <w:rsid w:val="00FD36E8"/>
    <w:rsid w:val="00FD6B46"/>
    <w:rsid w:val="00FD6F58"/>
    <w:rsid w:val="00FE0501"/>
    <w:rsid w:val="00FF2088"/>
    <w:rsid w:val="0B984330"/>
    <w:rsid w:val="12672CC5"/>
    <w:rsid w:val="14280FBE"/>
    <w:rsid w:val="156A00C6"/>
    <w:rsid w:val="17DB20DC"/>
    <w:rsid w:val="1A3B2C08"/>
    <w:rsid w:val="2C9264BC"/>
    <w:rsid w:val="32EF4F00"/>
    <w:rsid w:val="33CC5276"/>
    <w:rsid w:val="348C5C4F"/>
    <w:rsid w:val="35CA087A"/>
    <w:rsid w:val="390A5D90"/>
    <w:rsid w:val="3C792D62"/>
    <w:rsid w:val="3D22314C"/>
    <w:rsid w:val="40824CC5"/>
    <w:rsid w:val="425F5091"/>
    <w:rsid w:val="43C30923"/>
    <w:rsid w:val="464230F4"/>
    <w:rsid w:val="488552B9"/>
    <w:rsid w:val="4AA851F8"/>
    <w:rsid w:val="4DCE0365"/>
    <w:rsid w:val="567C0D19"/>
    <w:rsid w:val="5C0129D9"/>
    <w:rsid w:val="5D030F4B"/>
    <w:rsid w:val="5EFE1E85"/>
    <w:rsid w:val="643D5B55"/>
    <w:rsid w:val="66D639EA"/>
    <w:rsid w:val="67307658"/>
    <w:rsid w:val="6D904F97"/>
    <w:rsid w:val="72EE762E"/>
    <w:rsid w:val="731B5048"/>
    <w:rsid w:val="75682B08"/>
    <w:rsid w:val="79DB294D"/>
    <w:rsid w:val="7C0D0645"/>
    <w:rsid w:val="7F46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sz w:val="21"/>
    </w:rPr>
  </w:style>
  <w:style w:type="paragraph" w:styleId="3">
    <w:name w:val="Body Text Indent"/>
    <w:basedOn w:val="1"/>
    <w:next w:val="2"/>
    <w:qFormat/>
    <w:uiPriority w:val="0"/>
    <w:pPr>
      <w:ind w:firstLine="640" w:firstLineChars="200"/>
    </w:pPr>
    <w:rPr>
      <w:snapToGrid w:val="0"/>
      <w:kern w:val="0"/>
      <w:szCs w:val="24"/>
    </w:rPr>
  </w:style>
  <w:style w:type="paragraph" w:styleId="4">
    <w:name w:val="Plain Text"/>
    <w:basedOn w:val="1"/>
    <w:link w:val="23"/>
    <w:unhideWhenUsed/>
    <w:qFormat/>
    <w:uiPriority w:val="99"/>
    <w:pPr>
      <w:spacing w:line="240" w:lineRule="atLeast"/>
    </w:pPr>
    <w:rPr>
      <w:rFonts w:ascii="宋体" w:hAnsi="Courier New" w:eastAsia="Times New Roman" w:cs="Times New Roman"/>
      <w:spacing w:val="-6"/>
      <w:sz w:val="32"/>
      <w:szCs w:val="21"/>
    </w:rPr>
  </w:style>
  <w:style w:type="paragraph" w:styleId="5">
    <w:name w:val="Date"/>
    <w:basedOn w:val="1"/>
    <w:next w:val="1"/>
    <w:link w:val="24"/>
    <w:unhideWhenUsed/>
    <w:qFormat/>
    <w:uiPriority w:val="99"/>
    <w:pPr>
      <w:ind w:left="100" w:leftChars="2500"/>
    </w:pPr>
  </w:style>
  <w:style w:type="paragraph" w:styleId="6">
    <w:name w:val="Body Text Indent 2"/>
    <w:basedOn w:val="1"/>
    <w:link w:val="22"/>
    <w:qFormat/>
    <w:uiPriority w:val="0"/>
    <w:pPr>
      <w:spacing w:after="120" w:line="480" w:lineRule="auto"/>
      <w:ind w:left="420" w:leftChars="200"/>
    </w:pPr>
    <w:rPr>
      <w:rFonts w:ascii="Times New Roman" w:hAnsi="Times New Roman" w:eastAsia="宋体" w:cs="Times New Roman"/>
      <w:spacing w:val="-6"/>
      <w:sz w:val="32"/>
      <w:szCs w:val="20"/>
    </w:rPr>
  </w:style>
  <w:style w:type="paragraph" w:styleId="7">
    <w:name w:val="Balloon Text"/>
    <w:basedOn w:val="1"/>
    <w:link w:val="27"/>
    <w:unhideWhenUsed/>
    <w:qFormat/>
    <w:uiPriority w:val="99"/>
    <w:rPr>
      <w:rFonts w:eastAsia="仿宋_GB2312"/>
      <w:spacing w:val="-6"/>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5"/>
    <w:qFormat/>
    <w:uiPriority w:val="0"/>
    <w:pPr>
      <w:spacing w:after="120" w:line="480" w:lineRule="auto"/>
    </w:pPr>
    <w:rPr>
      <w:rFonts w:ascii="Calibri" w:hAnsi="Calibri"/>
      <w:szCs w:val="24"/>
    </w:rPr>
  </w:style>
  <w:style w:type="paragraph" w:styleId="11">
    <w:name w:val="Normal (Web)"/>
    <w:basedOn w:val="1"/>
    <w:semiHidden/>
    <w:unhideWhenUsed/>
    <w:qFormat/>
    <w:uiPriority w:val="99"/>
    <w:pPr>
      <w:jc w:val="left"/>
    </w:pPr>
    <w:rPr>
      <w:rFonts w:cs="Times New Roman"/>
      <w:kern w:val="0"/>
      <w:sz w:val="24"/>
    </w:rPr>
  </w:style>
  <w:style w:type="paragraph" w:styleId="12">
    <w:name w:val="Body Text First Indent 2"/>
    <w:basedOn w:val="3"/>
    <w:next w:val="1"/>
    <w:qFormat/>
    <w:uiPriority w:val="0"/>
    <w:pPr>
      <w:ind w:left="420" w:leftChars="200" w:firstLine="210"/>
    </w:pPr>
    <w:rPr>
      <w:rFonts w:ascii="Times New Roman" w:hAnsi="Times New Roman" w:eastAsia="宋体" w:cs="Times New Roman"/>
    </w:rPr>
  </w:style>
  <w:style w:type="table" w:styleId="14">
    <w:name w:val="Table Grid"/>
    <w:basedOn w:val="13"/>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line number"/>
    <w:basedOn w:val="15"/>
    <w:qFormat/>
    <w:uiPriority w:val="0"/>
  </w:style>
  <w:style w:type="character" w:styleId="19">
    <w:name w:val="Hyperlink"/>
    <w:basedOn w:val="15"/>
    <w:qFormat/>
    <w:uiPriority w:val="0"/>
    <w:rPr>
      <w:color w:val="0000FF"/>
      <w:u w:val="single"/>
    </w:rPr>
  </w:style>
  <w:style w:type="character" w:customStyle="1" w:styleId="20">
    <w:name w:val="页眉 Char"/>
    <w:basedOn w:val="15"/>
    <w:link w:val="9"/>
    <w:qFormat/>
    <w:uiPriority w:val="99"/>
    <w:rPr>
      <w:sz w:val="18"/>
      <w:szCs w:val="18"/>
    </w:rPr>
  </w:style>
  <w:style w:type="character" w:customStyle="1" w:styleId="21">
    <w:name w:val="页脚 Char"/>
    <w:basedOn w:val="15"/>
    <w:link w:val="8"/>
    <w:qFormat/>
    <w:uiPriority w:val="99"/>
    <w:rPr>
      <w:sz w:val="18"/>
      <w:szCs w:val="18"/>
    </w:rPr>
  </w:style>
  <w:style w:type="character" w:customStyle="1" w:styleId="22">
    <w:name w:val="正文文本缩进 2 Char"/>
    <w:basedOn w:val="15"/>
    <w:link w:val="6"/>
    <w:qFormat/>
    <w:uiPriority w:val="0"/>
    <w:rPr>
      <w:rFonts w:ascii="Times New Roman" w:hAnsi="Times New Roman" w:eastAsia="宋体" w:cs="Times New Roman"/>
      <w:spacing w:val="-6"/>
      <w:sz w:val="32"/>
      <w:szCs w:val="20"/>
    </w:rPr>
  </w:style>
  <w:style w:type="character" w:customStyle="1" w:styleId="23">
    <w:name w:val="纯文本 Char"/>
    <w:basedOn w:val="15"/>
    <w:link w:val="4"/>
    <w:qFormat/>
    <w:uiPriority w:val="99"/>
    <w:rPr>
      <w:rFonts w:ascii="宋体" w:hAnsi="Courier New" w:eastAsia="Times New Roman" w:cs="Times New Roman"/>
      <w:spacing w:val="-6"/>
      <w:sz w:val="32"/>
      <w:szCs w:val="21"/>
    </w:rPr>
  </w:style>
  <w:style w:type="character" w:customStyle="1" w:styleId="24">
    <w:name w:val="日期 Char"/>
    <w:basedOn w:val="15"/>
    <w:link w:val="5"/>
    <w:qFormat/>
    <w:uiPriority w:val="99"/>
  </w:style>
  <w:style w:type="character" w:customStyle="1" w:styleId="25">
    <w:name w:val="批注框文本 Char"/>
    <w:basedOn w:val="15"/>
    <w:link w:val="7"/>
    <w:qFormat/>
    <w:uiPriority w:val="99"/>
    <w:rPr>
      <w:sz w:val="18"/>
      <w:szCs w:val="18"/>
    </w:rPr>
  </w:style>
  <w:style w:type="character" w:customStyle="1" w:styleId="26">
    <w:name w:val="页脚 Char1"/>
    <w:basedOn w:val="15"/>
    <w:semiHidden/>
    <w:qFormat/>
    <w:uiPriority w:val="99"/>
    <w:rPr>
      <w:sz w:val="18"/>
      <w:szCs w:val="18"/>
    </w:rPr>
  </w:style>
  <w:style w:type="character" w:customStyle="1" w:styleId="27">
    <w:name w:val="批注框文本 Char1"/>
    <w:basedOn w:val="15"/>
    <w:link w:val="7"/>
    <w:qFormat/>
    <w:uiPriority w:val="99"/>
    <w:rPr>
      <w:rFonts w:eastAsia="仿宋_GB2312"/>
      <w:spacing w:val="-6"/>
      <w:sz w:val="18"/>
      <w:szCs w:val="18"/>
    </w:rPr>
  </w:style>
  <w:style w:type="paragraph" w:styleId="28">
    <w:name w:val="List Paragraph"/>
    <w:basedOn w:val="1"/>
    <w:qFormat/>
    <w:uiPriority w:val="34"/>
    <w:pPr>
      <w:ind w:firstLine="420" w:firstLineChars="200"/>
    </w:pPr>
    <w:rPr>
      <w:rFonts w:ascii="Times New Roman" w:hAnsi="Times New Roman" w:eastAsia="宋体" w:cs="Times New Roman"/>
      <w:szCs w:val="24"/>
    </w:rPr>
  </w:style>
  <w:style w:type="character" w:customStyle="1" w:styleId="29">
    <w:name w:val="15"/>
    <w:qFormat/>
    <w:uiPriority w:val="99"/>
    <w:rPr>
      <w:rFonts w:ascii="Times New Roman" w:hAnsi="Times New Roman" w:eastAsia="宋体"/>
      <w:sz w:val="21"/>
    </w:rPr>
  </w:style>
  <w:style w:type="character" w:customStyle="1" w:styleId="30">
    <w:name w:val="font81"/>
    <w:basedOn w:val="15"/>
    <w:qFormat/>
    <w:uiPriority w:val="0"/>
    <w:rPr>
      <w:rFonts w:hint="eastAsia" w:ascii="楷体_GB2312" w:eastAsia="楷体_GB2312" w:cs="楷体_GB2312"/>
      <w:b/>
      <w:color w:val="000000"/>
      <w:sz w:val="32"/>
      <w:szCs w:val="32"/>
      <w:u w:val="none"/>
    </w:rPr>
  </w:style>
  <w:style w:type="character" w:customStyle="1" w:styleId="31">
    <w:name w:val="font61"/>
    <w:basedOn w:val="15"/>
    <w:qFormat/>
    <w:uiPriority w:val="0"/>
    <w:rPr>
      <w:rFonts w:hint="default" w:ascii="Times New Roman" w:hAnsi="Times New Roman" w:cs="Times New Roman"/>
      <w:color w:val="000000"/>
      <w:sz w:val="32"/>
      <w:szCs w:val="32"/>
      <w:u w:val="none"/>
    </w:rPr>
  </w:style>
  <w:style w:type="character" w:customStyle="1" w:styleId="32">
    <w:name w:val="font21"/>
    <w:basedOn w:val="15"/>
    <w:qFormat/>
    <w:uiPriority w:val="0"/>
    <w:rPr>
      <w:rFonts w:hint="eastAsia" w:ascii="仿宋_GB2312" w:eastAsia="仿宋_GB2312" w:cs="仿宋_GB2312"/>
      <w:color w:val="000000"/>
      <w:sz w:val="32"/>
      <w:szCs w:val="32"/>
      <w:u w:val="none"/>
    </w:rPr>
  </w:style>
  <w:style w:type="character" w:customStyle="1" w:styleId="33">
    <w:name w:val="font31"/>
    <w:basedOn w:val="15"/>
    <w:qFormat/>
    <w:uiPriority w:val="0"/>
    <w:rPr>
      <w:rFonts w:hint="eastAsia" w:ascii="仿宋_GB2312" w:eastAsia="仿宋_GB2312" w:cs="仿宋_GB2312"/>
      <w:b/>
      <w:color w:val="000000"/>
      <w:sz w:val="32"/>
      <w:szCs w:val="32"/>
      <w:u w:val="none"/>
    </w:rPr>
  </w:style>
  <w:style w:type="character" w:customStyle="1" w:styleId="34">
    <w:name w:val="正文文本 2 Char"/>
    <w:basedOn w:val="15"/>
    <w:link w:val="10"/>
    <w:qFormat/>
    <w:uiPriority w:val="0"/>
    <w:rPr>
      <w:rFonts w:ascii="Calibri" w:hAnsi="Calibri"/>
      <w:szCs w:val="24"/>
    </w:rPr>
  </w:style>
  <w:style w:type="character" w:customStyle="1" w:styleId="35">
    <w:name w:val="正文文本 2 Char1"/>
    <w:basedOn w:val="15"/>
    <w:link w:val="10"/>
    <w:semiHidden/>
    <w:qFormat/>
    <w:uiPriority w:val="99"/>
  </w:style>
  <w:style w:type="character" w:customStyle="1" w:styleId="36">
    <w:name w:val="font41"/>
    <w:basedOn w:val="15"/>
    <w:qFormat/>
    <w:uiPriority w:val="99"/>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754AA-B461-4794-B0FF-6B5C8397FB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3055</Words>
  <Characters>17414</Characters>
  <Lines>145</Lines>
  <Paragraphs>40</Paragraphs>
  <TotalTime>9</TotalTime>
  <ScaleCrop>false</ScaleCrop>
  <LinksUpToDate>false</LinksUpToDate>
  <CharactersWithSpaces>20429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2020-05-15T07:12:00Z</dcterms:created>
  <dc:creator>PC</dc:creator>
  <cp:lastModifiedBy>留白。</cp:lastModifiedBy>
  <cp:lastPrinted>2021-04-09T08:50:42Z</cp:lastPrinted>
  <dcterms:modified xsi:type="dcterms:W3CDTF">2021-04-09T09:21:15Z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310D71AD133F443199911C72B81E9069</vt:lpwstr>
  </property>
</Properties>
</file>