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kern w:val="0"/>
          <w:sz w:val="24"/>
          <w:szCs w:val="24"/>
        </w:rPr>
      </w:pPr>
      <w:r>
        <w:rPr>
          <w:rFonts w:hint="eastAsia" w:ascii="黑体" w:hAnsi="黑体" w:eastAsia="黑体" w:cs="宋体"/>
          <w:b/>
          <w:bCs/>
          <w:kern w:val="0"/>
          <w:sz w:val="44"/>
          <w:szCs w:val="44"/>
        </w:rPr>
        <w:t>江西德安高新技术产业园区管理委员会2021年部门预算</w:t>
      </w:r>
    </w:p>
    <w:p>
      <w:pPr>
        <w:widowControl/>
        <w:jc w:val="center"/>
        <w:rPr>
          <w:rFonts w:ascii="宋体" w:hAnsi="宋体" w:eastAsia="宋体" w:cs="宋体"/>
          <w:kern w:val="0"/>
          <w:sz w:val="24"/>
          <w:szCs w:val="24"/>
        </w:rPr>
      </w:pPr>
      <w:r>
        <w:rPr>
          <w:rFonts w:hint="eastAsia" w:ascii="黑体" w:hAnsi="黑体" w:eastAsia="黑体" w:cs="宋体"/>
          <w:color w:val="000000"/>
          <w:kern w:val="0"/>
          <w:sz w:val="32"/>
          <w:szCs w:val="32"/>
        </w:rPr>
        <w:t>目 录</w:t>
      </w:r>
    </w:p>
    <w:p>
      <w:pPr>
        <w:widowControl/>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第一部分  江西德安高新技术产业园区管理委员会概况 </w:t>
      </w:r>
    </w:p>
    <w:p>
      <w:pPr>
        <w:pStyle w:val="5"/>
        <w:widowControl/>
        <w:numPr>
          <w:ilvl w:val="0"/>
          <w:numId w:val="1"/>
        </w:numPr>
        <w:ind w:firstLineChars="0"/>
        <w:rPr>
          <w:rFonts w:ascii="仿宋" w:hAnsi="仿宋" w:eastAsia="仿宋" w:cs="宋体"/>
          <w:color w:val="000000"/>
          <w:kern w:val="0"/>
          <w:sz w:val="32"/>
          <w:szCs w:val="32"/>
        </w:rPr>
      </w:pPr>
      <w:r>
        <w:rPr>
          <w:rFonts w:hint="eastAsia" w:ascii="仿宋" w:hAnsi="仿宋" w:eastAsia="仿宋" w:cs="宋体"/>
          <w:color w:val="000000"/>
          <w:kern w:val="0"/>
          <w:sz w:val="32"/>
          <w:szCs w:val="32"/>
        </w:rPr>
        <w:t>部门主要职责</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二、部门基本情况 </w:t>
      </w:r>
    </w:p>
    <w:p>
      <w:pPr>
        <w:widowControl/>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第二部分 江西德安高新技术产业园区管理委员会2021 年部门预算情况说明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一、2021 年部门预算收支情况说明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二、2021 年“三公”经费预算情况说明 </w:t>
      </w:r>
    </w:p>
    <w:p>
      <w:pPr>
        <w:widowControl/>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第三部分 江西德安高新技术产业园区管理委员会 2021 年部门预算表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一、《收支预算总表》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二、《部门收入总表》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三、《部门支出总表》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四、《财政拨款收支总表》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五、《一般公共预算支出表》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六、《一般公共预算基本支出表》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七、《一般公共预算“三公”经费支出表》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八、《政府性基金预算支出表》 </w:t>
      </w:r>
    </w:p>
    <w:p>
      <w:pPr>
        <w:widowControl/>
        <w:rPr>
          <w:rFonts w:hint="eastAsia" w:ascii="宋体" w:hAnsi="宋体" w:eastAsia="仿宋" w:cs="宋体"/>
          <w:kern w:val="0"/>
          <w:sz w:val="24"/>
          <w:szCs w:val="24"/>
          <w:lang w:val="en-US" w:eastAsia="zh-CN"/>
        </w:rPr>
      </w:pPr>
      <w:r>
        <w:rPr>
          <w:rFonts w:hint="eastAsia" w:ascii="仿宋" w:hAnsi="仿宋" w:eastAsia="仿宋" w:cs="宋体"/>
          <w:color w:val="000000"/>
          <w:kern w:val="0"/>
          <w:sz w:val="32"/>
          <w:szCs w:val="32"/>
        </w:rPr>
        <w:t>九、《</w:t>
      </w:r>
      <w:r>
        <w:rPr>
          <w:rFonts w:hint="eastAsia" w:ascii="仿宋" w:hAnsi="仿宋" w:eastAsia="仿宋" w:cs="宋体"/>
          <w:color w:val="000000"/>
          <w:kern w:val="0"/>
          <w:sz w:val="32"/>
          <w:szCs w:val="32"/>
          <w:lang w:val="en-US" w:eastAsia="zh-CN"/>
        </w:rPr>
        <w:t>部门整体支出目标表</w:t>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val="en-US" w:eastAsia="zh-CN"/>
        </w:rPr>
        <w:t>和《项目绩效目标表》</w:t>
      </w:r>
    </w:p>
    <w:p>
      <w:pPr>
        <w:widowControl/>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第四部分 名词解释</w:t>
      </w:r>
    </w:p>
    <w:p>
      <w:pPr>
        <w:widowControl/>
        <w:rPr>
          <w:rFonts w:ascii="仿宋" w:hAnsi="仿宋" w:eastAsia="仿宋" w:cs="宋体"/>
          <w:b/>
          <w:bCs/>
          <w:color w:val="000000"/>
          <w:kern w:val="0"/>
          <w:sz w:val="32"/>
          <w:szCs w:val="32"/>
        </w:rPr>
      </w:pPr>
    </w:p>
    <w:p>
      <w:pPr>
        <w:widowControl/>
        <w:jc w:val="center"/>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第一部分江西德安高新技术产业园区管理委员会概况</w:t>
      </w:r>
    </w:p>
    <w:p>
      <w:pPr>
        <w:widowControl/>
        <w:ind w:firstLine="723" w:firstLineChars="200"/>
        <w:rPr>
          <w:rFonts w:ascii="宋体" w:hAnsi="宋体" w:eastAsia="宋体" w:cs="宋体"/>
          <w:kern w:val="0"/>
          <w:sz w:val="24"/>
          <w:szCs w:val="24"/>
        </w:rPr>
      </w:pPr>
      <w:r>
        <w:rPr>
          <w:rFonts w:hint="eastAsia" w:ascii="宋体" w:hAnsi="宋体" w:eastAsia="宋体" w:cs="宋体"/>
          <w:b/>
          <w:bCs/>
          <w:color w:val="000000"/>
          <w:kern w:val="0"/>
          <w:sz w:val="36"/>
          <w:szCs w:val="36"/>
        </w:rPr>
        <w:t xml:space="preserve">一、部门主要职责 </w:t>
      </w:r>
    </w:p>
    <w:p>
      <w:pPr>
        <w:spacing w:line="400" w:lineRule="exact"/>
        <w:rPr>
          <w:rFonts w:ascii="仿宋" w:hAnsi="仿宋" w:eastAsia="仿宋" w:cs="仿宋"/>
          <w:sz w:val="32"/>
          <w:szCs w:val="32"/>
        </w:rPr>
      </w:pPr>
      <w:r>
        <w:rPr>
          <w:rFonts w:hint="eastAsia" w:ascii="仿宋" w:hAnsi="仿宋" w:eastAsia="仿宋" w:cs="仿宋"/>
          <w:sz w:val="32"/>
          <w:szCs w:val="32"/>
        </w:rPr>
        <w:t>　  江西德安高新技术产业园区管理委员会是主管工业园开发的县政府派出机构，主要职责是：工业园开发管理与服务工作。</w:t>
      </w:r>
    </w:p>
    <w:p>
      <w:pPr>
        <w:widowControl/>
        <w:ind w:firstLine="723" w:firstLineChars="200"/>
        <w:rPr>
          <w:rFonts w:ascii="宋体" w:hAnsi="宋体" w:eastAsia="宋体" w:cs="宋体"/>
          <w:kern w:val="0"/>
          <w:sz w:val="24"/>
          <w:szCs w:val="24"/>
        </w:rPr>
      </w:pPr>
      <w:r>
        <w:rPr>
          <w:rFonts w:hint="eastAsia" w:ascii="宋体" w:hAnsi="宋体" w:eastAsia="宋体" w:cs="宋体"/>
          <w:b/>
          <w:bCs/>
          <w:color w:val="000000"/>
          <w:kern w:val="0"/>
          <w:sz w:val="36"/>
          <w:szCs w:val="36"/>
        </w:rPr>
        <w:t xml:space="preserve">二、部门基本情况 </w:t>
      </w:r>
    </w:p>
    <w:p>
      <w:pPr>
        <w:widowControl/>
        <w:adjustRightInd w:val="0"/>
        <w:spacing w:line="600" w:lineRule="exact"/>
        <w:ind w:firstLine="640" w:firstLineChars="200"/>
        <w:jc w:val="left"/>
        <w:rPr>
          <w:rFonts w:ascii="仿宋" w:hAnsi="仿宋" w:eastAsia="仿宋" w:cs="仿宋_GB2312"/>
          <w:kern w:val="0"/>
          <w:sz w:val="32"/>
          <w:szCs w:val="32"/>
        </w:rPr>
      </w:pPr>
      <w:r>
        <w:rPr>
          <w:rFonts w:hint="eastAsia" w:ascii="仿宋" w:hAnsi="仿宋" w:eastAsia="仿宋" w:cs="仿宋_GB2312"/>
          <w:sz w:val="32"/>
          <w:szCs w:val="32"/>
        </w:rPr>
        <w:t>江西德安高新技术产业园区管理委员会编制数33人，其中：参照公务员管理编制28人、全额事业编制5人；实有人数28人，其中：在职人数28人，包括参公人员23人、全额事业5人；离休人员0人；退休人员3人，遗属0人。</w:t>
      </w:r>
    </w:p>
    <w:p>
      <w:pPr>
        <w:widowControl/>
        <w:jc w:val="left"/>
        <w:rPr>
          <w:rFonts w:ascii="宋体" w:hAnsi="宋体" w:eastAsia="宋体" w:cs="宋体"/>
          <w:kern w:val="0"/>
          <w:sz w:val="24"/>
          <w:szCs w:val="24"/>
        </w:rPr>
      </w:pPr>
      <w:r>
        <w:rPr>
          <w:rFonts w:hint="eastAsia" w:ascii="仿宋" w:hAnsi="仿宋" w:eastAsia="仿宋" w:cs="宋体"/>
          <w:b/>
          <w:bCs/>
          <w:color w:val="000000"/>
          <w:kern w:val="0"/>
          <w:sz w:val="32"/>
          <w:szCs w:val="32"/>
        </w:rPr>
        <w:t>第二部分 江西德安高新技术产业园区管理委员会2021年部门预算情况说明</w:t>
      </w:r>
    </w:p>
    <w:p>
      <w:pPr>
        <w:widowControl/>
        <w:ind w:firstLine="803" w:firstLineChars="250"/>
        <w:rPr>
          <w:rFonts w:ascii="宋体" w:hAnsi="宋体" w:eastAsia="宋体" w:cs="宋体"/>
          <w:b/>
          <w:kern w:val="0"/>
          <w:sz w:val="24"/>
          <w:szCs w:val="24"/>
        </w:rPr>
      </w:pPr>
      <w:r>
        <w:rPr>
          <w:rFonts w:hint="eastAsia" w:ascii="楷体" w:hAnsi="楷体" w:eastAsia="楷体" w:cs="宋体"/>
          <w:b/>
          <w:bCs/>
          <w:color w:val="000000"/>
          <w:kern w:val="0"/>
          <w:sz w:val="32"/>
          <w:szCs w:val="32"/>
        </w:rPr>
        <w:t>一、2021 年部门预算收支情况说明</w:t>
      </w:r>
    </w:p>
    <w:p>
      <w:pPr>
        <w:widowControl/>
        <w:ind w:firstLine="643" w:firstLineChars="200"/>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(一)收入预算情况 </w:t>
      </w:r>
    </w:p>
    <w:p>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2021年江西德安高新技术产业园区管理委员会收入预算总额为947.97万元，较上年增加</w:t>
      </w:r>
      <w:r>
        <w:rPr>
          <w:rFonts w:hint="eastAsia" w:ascii="仿宋" w:hAnsi="仿宋" w:eastAsia="仿宋" w:cs="仿宋_GB2312"/>
          <w:sz w:val="32"/>
          <w:szCs w:val="32"/>
          <w:lang w:val="en-US" w:eastAsia="zh-CN"/>
        </w:rPr>
        <w:t>574.89</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r>
        <w:rPr>
          <w:rFonts w:hint="eastAsia" w:ascii="仿宋" w:hAnsi="仿宋" w:eastAsia="仿宋" w:cs="仿宋_GB2312"/>
          <w:sz w:val="32"/>
          <w:szCs w:val="32"/>
        </w:rPr>
        <w:t>其中：财政拨款收入40</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.85万元，占收入预算总额的43%</w:t>
      </w:r>
      <w:r>
        <w:rPr>
          <w:rFonts w:hint="eastAsia" w:ascii="仿宋" w:hAnsi="仿宋" w:eastAsia="仿宋" w:cs="仿宋_GB2312"/>
          <w:sz w:val="32"/>
          <w:szCs w:val="32"/>
          <w:lang w:eastAsia="zh-CN"/>
        </w:rPr>
        <w:t>，</w:t>
      </w:r>
      <w:r>
        <w:rPr>
          <w:rFonts w:hint="eastAsia" w:ascii="仿宋" w:hAnsi="仿宋" w:eastAsia="仿宋" w:cs="仿宋_GB2312"/>
          <w:sz w:val="32"/>
          <w:szCs w:val="32"/>
        </w:rPr>
        <w:t>较</w:t>
      </w:r>
      <w:r>
        <w:rPr>
          <w:rFonts w:hint="eastAsia" w:ascii="仿宋" w:hAnsi="仿宋" w:eastAsia="仿宋" w:cs="仿宋_GB2312"/>
          <w:sz w:val="32"/>
          <w:szCs w:val="32"/>
          <w:lang w:val="en-US" w:eastAsia="zh-CN"/>
        </w:rPr>
        <w:t>去</w:t>
      </w:r>
      <w:r>
        <w:rPr>
          <w:rFonts w:hint="eastAsia" w:ascii="仿宋" w:hAnsi="仿宋" w:eastAsia="仿宋" w:cs="仿宋_GB2312"/>
          <w:sz w:val="32"/>
          <w:szCs w:val="32"/>
        </w:rPr>
        <w:t>年增加</w:t>
      </w:r>
      <w:r>
        <w:rPr>
          <w:rFonts w:hint="eastAsia" w:ascii="仿宋" w:hAnsi="仿宋" w:eastAsia="仿宋" w:cs="仿宋_GB2312"/>
          <w:sz w:val="32"/>
          <w:szCs w:val="32"/>
          <w:lang w:val="en-US" w:eastAsia="zh-CN"/>
        </w:rPr>
        <w:t>32.77万元，收入预算增加的原因是人员经费等增加</w:t>
      </w:r>
      <w:r>
        <w:rPr>
          <w:rFonts w:hint="eastAsia" w:ascii="仿宋" w:hAnsi="仿宋" w:eastAsia="仿宋" w:cs="仿宋_GB2312"/>
          <w:sz w:val="32"/>
          <w:szCs w:val="32"/>
        </w:rPr>
        <w:t>；非税收入</w:t>
      </w:r>
      <w:r>
        <w:rPr>
          <w:rFonts w:hint="eastAsia" w:ascii="仿宋" w:hAnsi="仿宋" w:eastAsia="仿宋" w:cs="仿宋_GB2312"/>
          <w:sz w:val="32"/>
          <w:szCs w:val="32"/>
          <w:lang w:val="en-US" w:eastAsia="zh-CN"/>
        </w:rPr>
        <w:t>2万元，占收入预算总额0.21%；</w:t>
      </w:r>
      <w:r>
        <w:rPr>
          <w:rFonts w:hint="eastAsia" w:ascii="仿宋" w:hAnsi="仿宋" w:eastAsia="仿宋" w:cs="仿宋_GB2312"/>
          <w:sz w:val="32"/>
          <w:szCs w:val="32"/>
        </w:rPr>
        <w:t>上年结余结转540.12万元，占收入预算总额的57</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w:t>
      </w:r>
    </w:p>
    <w:p>
      <w:pPr>
        <w:widowControl/>
        <w:ind w:firstLine="643" w:firstLineChars="200"/>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(二)支出预算情况 </w:t>
      </w:r>
    </w:p>
    <w:p>
      <w:pPr>
        <w:spacing w:line="600" w:lineRule="exact"/>
        <w:rPr>
          <w:rFonts w:ascii="仿宋" w:hAnsi="仿宋" w:eastAsia="仿宋" w:cs="仿宋_GB2312"/>
          <w:sz w:val="32"/>
          <w:szCs w:val="32"/>
        </w:rPr>
      </w:pPr>
      <w:r>
        <w:rPr>
          <w:rFonts w:hint="eastAsia" w:ascii="仿宋" w:hAnsi="仿宋" w:eastAsia="仿宋" w:cs="仿宋_GB2312"/>
          <w:sz w:val="32"/>
          <w:szCs w:val="32"/>
        </w:rPr>
        <w:t>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2021年德安高新技术产业园区管理委员会支出预算总额为947.97万元</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较去年增加7.19万元</w:t>
      </w:r>
      <w:r>
        <w:rPr>
          <w:rFonts w:hint="eastAsia" w:ascii="仿宋" w:hAnsi="仿宋" w:eastAsia="仿宋" w:cs="仿宋_GB2312"/>
          <w:sz w:val="32"/>
          <w:szCs w:val="32"/>
          <w:lang w:eastAsia="zh-CN"/>
        </w:rPr>
        <w:t>。</w:t>
      </w:r>
      <w:r>
        <w:rPr>
          <w:rFonts w:hint="eastAsia" w:ascii="仿宋" w:hAnsi="仿宋" w:eastAsia="仿宋" w:cs="仿宋_GB2312"/>
          <w:sz w:val="32"/>
          <w:szCs w:val="32"/>
        </w:rPr>
        <w:t>其中：按支出经济类别划分:基本支出947.97万元，占支出预算总额的100%，包括工资福利支出314.04万元</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较去年减少17.42万元，减少原因是人员调出；</w:t>
      </w:r>
      <w:r>
        <w:rPr>
          <w:rFonts w:hint="eastAsia" w:ascii="仿宋" w:hAnsi="仿宋" w:eastAsia="仿宋" w:cs="仿宋_GB2312"/>
          <w:sz w:val="32"/>
          <w:szCs w:val="32"/>
        </w:rPr>
        <w:t>商品和服务支出108.22万元</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较去年减少15.53万元，减少原因合理压缩；</w:t>
      </w:r>
      <w:r>
        <w:rPr>
          <w:rFonts w:hint="eastAsia" w:ascii="仿宋" w:hAnsi="仿宋" w:eastAsia="仿宋" w:cs="仿宋_GB2312"/>
          <w:sz w:val="32"/>
          <w:szCs w:val="32"/>
        </w:rPr>
        <w:t>资本性支出525.71万元</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较去年增加40.14万元，增加资本性支出</w:t>
      </w:r>
      <w:r>
        <w:rPr>
          <w:rFonts w:hint="eastAsia" w:ascii="仿宋" w:hAnsi="仿宋" w:eastAsia="仿宋" w:cs="仿宋_GB2312"/>
          <w:sz w:val="32"/>
          <w:szCs w:val="32"/>
        </w:rPr>
        <w:t>。</w:t>
      </w:r>
    </w:p>
    <w:p>
      <w:pPr>
        <w:spacing w:line="600" w:lineRule="exact"/>
        <w:rPr>
          <w:rFonts w:ascii="仿宋" w:hAnsi="仿宋" w:eastAsia="仿宋" w:cs="仿宋_GB2312"/>
          <w:sz w:val="32"/>
          <w:szCs w:val="32"/>
        </w:rPr>
      </w:pPr>
      <w:r>
        <w:rPr>
          <w:rFonts w:hint="eastAsia" w:ascii="仿宋" w:hAnsi="仿宋" w:eastAsia="仿宋" w:cs="仿宋_GB2312"/>
          <w:sz w:val="32"/>
          <w:szCs w:val="32"/>
        </w:rPr>
        <w:t>　</w:t>
      </w:r>
      <w:r>
        <w:rPr>
          <w:rFonts w:hint="eastAsia" w:ascii="宋体" w:hAnsi="宋体" w:eastAsia="宋体" w:cs="宋体"/>
          <w:sz w:val="32"/>
          <w:szCs w:val="32"/>
        </w:rPr>
        <w:t> </w:t>
      </w:r>
      <w:r>
        <w:rPr>
          <w:rFonts w:hint="eastAsia" w:ascii="仿宋" w:hAnsi="仿宋" w:eastAsia="仿宋" w:cs="仿宋"/>
          <w:sz w:val="32"/>
          <w:szCs w:val="32"/>
        </w:rPr>
        <w:t xml:space="preserve"> </w:t>
      </w:r>
      <w:r>
        <w:rPr>
          <w:rFonts w:hint="eastAsia" w:ascii="仿宋" w:hAnsi="仿宋" w:eastAsia="仿宋" w:cs="仿宋_GB2312"/>
          <w:sz w:val="32"/>
          <w:szCs w:val="32"/>
        </w:rPr>
        <w:t>按支出功能科目划分:一般公共服务支出905.99万元，占支出预算总额的95.6%</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较去年减少34.79万元，减少原因是合理性压缩</w:t>
      </w:r>
      <w:r>
        <w:rPr>
          <w:rFonts w:hint="eastAsia" w:ascii="仿宋" w:hAnsi="仿宋" w:eastAsia="仿宋" w:cs="仿宋_GB2312"/>
          <w:sz w:val="32"/>
          <w:szCs w:val="32"/>
        </w:rPr>
        <w:t>；社会保障和就业支出26.65万元，占支出预算总额的2.8%；卫生健康支出7.33万元，占支出预算总额的0.8%；住房保障支出8万元，占支出预算总额的0.8%。</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 (三)财政拨款支出情况 </w:t>
      </w:r>
    </w:p>
    <w:p>
      <w:pPr>
        <w:widowControl/>
        <w:ind w:firstLine="640" w:firstLineChars="200"/>
        <w:rPr>
          <w:rFonts w:ascii="仿宋" w:hAnsi="仿宋" w:eastAsia="仿宋" w:cs="仿宋_GB2312"/>
          <w:sz w:val="32"/>
          <w:szCs w:val="32"/>
        </w:rPr>
      </w:pPr>
      <w:r>
        <w:rPr>
          <w:rFonts w:hint="eastAsia" w:ascii="仿宋" w:hAnsi="仿宋" w:eastAsia="仿宋" w:cs="仿宋_GB2312"/>
          <w:sz w:val="32"/>
          <w:szCs w:val="32"/>
        </w:rPr>
        <w:t>　2021年江西德安高新技术产业园区管理委员会财政拨款支出预算407.85万元，占支出预算总额的100%</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较去年增加34.77万元</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增加原因是人员经费增加。增加</w:t>
      </w:r>
      <w:r>
        <w:rPr>
          <w:rFonts w:hint="eastAsia" w:ascii="仿宋" w:hAnsi="仿宋" w:eastAsia="仿宋" w:cs="仿宋_GB2312"/>
          <w:sz w:val="32"/>
          <w:szCs w:val="32"/>
        </w:rPr>
        <w:t>具体支出情况是:一般公共服务支出377.87万元，占支出预算总额的92.6%</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较去年增加4.79万元，增加原因是人员经费增加</w:t>
      </w:r>
      <w:r>
        <w:rPr>
          <w:rFonts w:hint="eastAsia" w:ascii="仿宋" w:hAnsi="仿宋" w:eastAsia="仿宋" w:cs="仿宋_GB2312"/>
          <w:sz w:val="32"/>
          <w:szCs w:val="32"/>
        </w:rPr>
        <w:t>；社会保障和就业支出14.65万元，占支出预算总额的3.6%；卫生健康支出7.33万元，占支出预算总额的1.8%；住房保障支出8万元，占支出预算总额的2%。</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(四)政府性基金情况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没有使用政府性基金预算拨款安排的支出。 </w:t>
      </w:r>
    </w:p>
    <w:p>
      <w:pPr>
        <w:widowControl/>
        <w:ind w:firstLine="482" w:firstLineChars="15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(五)机关运行经费等重要事项的说明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2021 年部门本级及下属参公单位机关运行费预算108.22万元，比 2020 年预算减少15.53万元，下降12.5</w:t>
      </w:r>
      <w:r>
        <w:rPr>
          <w:rFonts w:hint="eastAsia" w:ascii="宋体" w:hAnsi="宋体" w:eastAsia="宋体" w:cs="宋体"/>
          <w:kern w:val="0"/>
          <w:sz w:val="24"/>
          <w:szCs w:val="24"/>
        </w:rPr>
        <w:t xml:space="preserve"> </w:t>
      </w:r>
      <w:r>
        <w:rPr>
          <w:rFonts w:hint="eastAsia" w:ascii="仿宋" w:hAnsi="仿宋" w:eastAsia="仿宋" w:cs="宋体"/>
          <w:color w:val="000000"/>
          <w:kern w:val="0"/>
          <w:sz w:val="32"/>
          <w:szCs w:val="32"/>
        </w:rPr>
        <w:t xml:space="preserve">%。按照财政部《地方预决算公开操作规程》明确的口径，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 </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(六)政府采购情况 </w:t>
      </w:r>
    </w:p>
    <w:p>
      <w:pPr>
        <w:spacing w:line="400" w:lineRule="exact"/>
        <w:ind w:firstLine="640" w:firstLineChars="200"/>
        <w:rPr>
          <w:rFonts w:ascii="仿宋" w:hAnsi="仿宋" w:eastAsia="仿宋" w:cs="仿宋"/>
          <w:sz w:val="32"/>
          <w:szCs w:val="32"/>
        </w:rPr>
      </w:pPr>
      <w:r>
        <w:rPr>
          <w:rFonts w:hint="eastAsia" w:ascii="仿宋" w:hAnsi="仿宋" w:eastAsia="仿宋" w:cs="宋体"/>
          <w:color w:val="000000"/>
          <w:kern w:val="0"/>
          <w:sz w:val="32"/>
          <w:szCs w:val="32"/>
        </w:rPr>
        <w:t>2021</w:t>
      </w:r>
      <w:r>
        <w:rPr>
          <w:rFonts w:hint="eastAsia" w:ascii="仿宋" w:hAnsi="仿宋" w:eastAsia="仿宋" w:cs="仿宋"/>
          <w:sz w:val="32"/>
          <w:szCs w:val="32"/>
        </w:rPr>
        <w:t>年未安排政府采购</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(七)国有资产占有使用情况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截至 2020 年12月 31 日,部门共有车辆 0 辆。 </w:t>
      </w:r>
    </w:p>
    <w:p>
      <w:pPr>
        <w:widowControl/>
        <w:ind w:firstLine="643" w:firstLineChars="200"/>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(八)一级项目绩效目标设置情况</w:t>
      </w:r>
    </w:p>
    <w:p>
      <w:pPr>
        <w:widowControl/>
        <w:ind w:firstLine="640" w:firstLineChars="200"/>
        <w:rPr>
          <w:rFonts w:ascii="仿宋" w:hAnsi="仿宋" w:eastAsia="仿宋" w:cs="仿宋"/>
          <w:sz w:val="32"/>
          <w:szCs w:val="32"/>
        </w:rPr>
      </w:pPr>
      <w:r>
        <w:rPr>
          <w:rFonts w:hint="eastAsia" w:ascii="仿宋" w:hAnsi="仿宋" w:eastAsia="仿宋" w:cs="仿宋"/>
          <w:sz w:val="32"/>
          <w:szCs w:val="32"/>
        </w:rPr>
        <w:t>我单位2021年无项目预算绩效</w:t>
      </w:r>
    </w:p>
    <w:p>
      <w:pPr>
        <w:widowControl/>
        <w:ind w:firstLine="643" w:firstLineChars="200"/>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（九）一级项目中各二级项目情况说明</w:t>
      </w:r>
    </w:p>
    <w:p>
      <w:pPr>
        <w:widowControl/>
        <w:ind w:firstLine="640" w:firstLineChars="200"/>
        <w:rPr>
          <w:rFonts w:ascii="仿宋" w:hAnsi="仿宋" w:eastAsia="仿宋" w:cs="仿宋"/>
          <w:sz w:val="32"/>
          <w:szCs w:val="32"/>
        </w:rPr>
      </w:pPr>
      <w:r>
        <w:rPr>
          <w:rFonts w:hint="eastAsia" w:ascii="仿宋" w:hAnsi="仿宋" w:eastAsia="仿宋" w:cs="仿宋"/>
          <w:sz w:val="32"/>
          <w:szCs w:val="32"/>
        </w:rPr>
        <w:t>我单位2021年无项目预算</w:t>
      </w:r>
    </w:p>
    <w:p>
      <w:pPr>
        <w:widowControl/>
        <w:ind w:firstLine="643" w:firstLineChars="200"/>
        <w:rPr>
          <w:rFonts w:ascii="宋体" w:hAnsi="宋体" w:eastAsia="宋体" w:cs="宋体"/>
          <w:kern w:val="0"/>
          <w:sz w:val="24"/>
          <w:szCs w:val="24"/>
        </w:rPr>
      </w:pPr>
      <w:r>
        <w:rPr>
          <w:rFonts w:hint="eastAsia" w:ascii="楷体" w:hAnsi="楷体" w:eastAsia="楷体" w:cs="宋体"/>
          <w:b/>
          <w:bCs/>
          <w:color w:val="000000"/>
          <w:kern w:val="0"/>
          <w:sz w:val="32"/>
          <w:szCs w:val="32"/>
        </w:rPr>
        <w:t>二、2021 年“三公</w:t>
      </w:r>
      <w:r>
        <w:rPr>
          <w:rFonts w:ascii="Calibri" w:hAnsi="Calibri" w:eastAsia="宋体" w:cs="宋体"/>
          <w:b/>
          <w:bCs/>
          <w:color w:val="000000"/>
          <w:kern w:val="0"/>
          <w:sz w:val="32"/>
          <w:szCs w:val="32"/>
        </w:rPr>
        <w:t>”</w:t>
      </w:r>
      <w:r>
        <w:rPr>
          <w:rFonts w:hint="eastAsia" w:ascii="楷体" w:hAnsi="楷体" w:eastAsia="楷体" w:cs="宋体"/>
          <w:b/>
          <w:bCs/>
          <w:color w:val="000000"/>
          <w:kern w:val="0"/>
          <w:sz w:val="32"/>
          <w:szCs w:val="32"/>
        </w:rPr>
        <w:t xml:space="preserve">经费预算情况说明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2021 年</w:t>
      </w:r>
      <w:r>
        <w:rPr>
          <w:rFonts w:hint="eastAsia" w:ascii="仿宋" w:hAnsi="仿宋" w:eastAsia="仿宋" w:cs="仿宋_GB2312"/>
          <w:sz w:val="32"/>
          <w:szCs w:val="32"/>
        </w:rPr>
        <w:t>江西德安高新技术产业园区管理委员会</w:t>
      </w:r>
      <w:r>
        <w:rPr>
          <w:rFonts w:hint="eastAsia" w:ascii="仿宋" w:hAnsi="仿宋" w:eastAsia="仿宋" w:cs="宋体"/>
          <w:color w:val="000000"/>
          <w:kern w:val="0"/>
          <w:sz w:val="32"/>
          <w:szCs w:val="32"/>
        </w:rPr>
        <w:t>"三公"经费一般公共预算安排18万元,其中: 因公出国（境）费 0   万元与上年持平</w:t>
      </w:r>
      <w:r>
        <w:rPr>
          <w:rFonts w:hint="eastAsia" w:ascii="仿宋" w:hAnsi="仿宋" w:eastAsia="仿宋" w:cs="宋体"/>
          <w:color w:val="000000"/>
          <w:kern w:val="0"/>
          <w:sz w:val="32"/>
          <w:szCs w:val="32"/>
          <w:lang w:eastAsia="zh-CN"/>
        </w:rPr>
        <w:t>，三公用车运行及维护费</w:t>
      </w:r>
      <w:r>
        <w:rPr>
          <w:rFonts w:hint="eastAsia" w:ascii="仿宋" w:hAnsi="仿宋" w:eastAsia="仿宋" w:cs="宋体"/>
          <w:color w:val="000000"/>
          <w:kern w:val="0"/>
          <w:sz w:val="32"/>
          <w:szCs w:val="32"/>
          <w:lang w:val="en-US" w:eastAsia="zh-CN"/>
        </w:rPr>
        <w:t>0元</w:t>
      </w:r>
      <w:r>
        <w:rPr>
          <w:rFonts w:hint="eastAsia" w:ascii="仿宋" w:hAnsi="仿宋" w:eastAsia="仿宋" w:cs="宋体"/>
          <w:color w:val="000000"/>
          <w:kern w:val="0"/>
          <w:sz w:val="32"/>
          <w:szCs w:val="32"/>
        </w:rPr>
        <w:t xml:space="preserve">。公务接待费18万元,比上年减少10万元, 主要原因是：公务接待活动预计减少。 </w:t>
      </w:r>
    </w:p>
    <w:p>
      <w:pPr>
        <w:widowControl/>
        <w:ind w:firstLine="321" w:firstLineChars="100"/>
        <w:jc w:val="left"/>
        <w:rPr>
          <w:rFonts w:hint="eastAsia" w:ascii="仿宋" w:hAnsi="仿宋" w:eastAsia="仿宋" w:cs="宋体"/>
          <w:b/>
          <w:bCs/>
          <w:color w:val="000000"/>
          <w:kern w:val="0"/>
          <w:sz w:val="32"/>
          <w:szCs w:val="32"/>
        </w:rPr>
      </w:pPr>
    </w:p>
    <w:p>
      <w:pPr>
        <w:widowControl/>
        <w:ind w:firstLine="321" w:firstLineChars="100"/>
        <w:jc w:val="left"/>
        <w:rPr>
          <w:rFonts w:hint="eastAsia" w:ascii="仿宋" w:hAnsi="仿宋" w:eastAsia="仿宋" w:cs="宋体"/>
          <w:b/>
          <w:bCs/>
          <w:color w:val="000000"/>
          <w:kern w:val="0"/>
          <w:sz w:val="32"/>
          <w:szCs w:val="32"/>
        </w:rPr>
      </w:pPr>
    </w:p>
    <w:p>
      <w:pPr>
        <w:widowControl/>
        <w:ind w:firstLine="321" w:firstLineChars="100"/>
        <w:jc w:val="left"/>
        <w:rPr>
          <w:rFonts w:hint="eastAsia" w:ascii="仿宋" w:hAnsi="仿宋" w:eastAsia="仿宋" w:cs="宋体"/>
          <w:b/>
          <w:bCs/>
          <w:color w:val="000000"/>
          <w:kern w:val="0"/>
          <w:sz w:val="32"/>
          <w:szCs w:val="32"/>
        </w:rPr>
      </w:pPr>
    </w:p>
    <w:p>
      <w:pPr>
        <w:widowControl/>
        <w:ind w:firstLine="321" w:firstLineChars="100"/>
        <w:jc w:val="left"/>
        <w:rPr>
          <w:rFonts w:hint="eastAsia" w:ascii="仿宋" w:hAnsi="仿宋" w:eastAsia="仿宋" w:cs="宋体"/>
          <w:b/>
          <w:bCs/>
          <w:color w:val="000000"/>
          <w:kern w:val="0"/>
          <w:sz w:val="32"/>
          <w:szCs w:val="32"/>
        </w:rPr>
      </w:pPr>
    </w:p>
    <w:p>
      <w:pPr>
        <w:widowControl/>
        <w:ind w:firstLine="321" w:firstLineChars="100"/>
        <w:jc w:val="left"/>
        <w:rPr>
          <w:rFonts w:hint="eastAsia" w:ascii="仿宋" w:hAnsi="仿宋" w:eastAsia="仿宋" w:cs="宋体"/>
          <w:b/>
          <w:bCs/>
          <w:color w:val="000000"/>
          <w:kern w:val="0"/>
          <w:sz w:val="32"/>
          <w:szCs w:val="32"/>
        </w:rPr>
      </w:pPr>
    </w:p>
    <w:p>
      <w:pPr>
        <w:widowControl/>
        <w:ind w:firstLine="321" w:firstLineChars="100"/>
        <w:jc w:val="left"/>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第三部分 江西德安高新技术产业园区管理委员会 2021年部门预算表</w:t>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一《收支预算总表》 </w:t>
      </w:r>
    </w:p>
    <w:p>
      <w:pPr>
        <w:widowControl/>
        <w:ind w:firstLine="480" w:firstLineChars="200"/>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74310" cy="2680970"/>
            <wp:effectExtent l="19050" t="0" r="2540" b="0"/>
            <wp:docPr id="1" name="图片 1" descr="C:\Users\ADMINI~1\AppData\Local\Temp\1612148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1612148500(1).jpg"/>
                    <pic:cNvPicPr>
                      <a:picLocks noChangeAspect="1" noChangeArrowheads="1"/>
                    </pic:cNvPicPr>
                  </pic:nvPicPr>
                  <pic:blipFill>
                    <a:blip r:embed="rId4" cstate="print"/>
                    <a:srcRect/>
                    <a:stretch>
                      <a:fillRect/>
                    </a:stretch>
                  </pic:blipFill>
                  <pic:spPr>
                    <a:xfrm>
                      <a:off x="0" y="0"/>
                      <a:ext cx="5274310" cy="2680972"/>
                    </a:xfrm>
                    <a:prstGeom prst="rect">
                      <a:avLst/>
                    </a:prstGeom>
                    <a:noFill/>
                    <a:ln w="9525">
                      <a:noFill/>
                      <a:miter lim="800000"/>
                      <a:headEnd/>
                      <a:tailEnd/>
                    </a:ln>
                  </pic:spPr>
                </pic:pic>
              </a:graphicData>
            </a:graphic>
          </wp:inline>
        </w:drawing>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二《部门收入总表》</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 </w:t>
      </w:r>
      <w:bookmarkStart w:id="0" w:name="_GoBack"/>
      <w:r>
        <w:rPr>
          <w:rFonts w:hint="eastAsia" w:ascii="仿宋" w:hAnsi="仿宋" w:eastAsia="仿宋" w:cs="宋体"/>
          <w:color w:val="000000"/>
          <w:kern w:val="0"/>
          <w:sz w:val="32"/>
          <w:szCs w:val="32"/>
        </w:rPr>
        <w:drawing>
          <wp:inline distT="0" distB="0" distL="0" distR="0">
            <wp:extent cx="5274310" cy="1684655"/>
            <wp:effectExtent l="1905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srcRect/>
                    <a:stretch>
                      <a:fillRect/>
                    </a:stretch>
                  </pic:blipFill>
                  <pic:spPr>
                    <a:xfrm>
                      <a:off x="0" y="0"/>
                      <a:ext cx="5274310" cy="1684673"/>
                    </a:xfrm>
                    <a:prstGeom prst="rect">
                      <a:avLst/>
                    </a:prstGeom>
                    <a:noFill/>
                    <a:ln w="9525">
                      <a:noFill/>
                      <a:miter lim="800000"/>
                      <a:headEnd/>
                      <a:tailEnd/>
                    </a:ln>
                  </pic:spPr>
                </pic:pic>
              </a:graphicData>
            </a:graphic>
          </wp:inline>
        </w:drawing>
      </w:r>
      <w:bookmarkEnd w:id="0"/>
    </w:p>
    <w:p>
      <w:pPr>
        <w:widowControl/>
        <w:ind w:firstLine="640" w:firstLineChars="200"/>
        <w:rPr>
          <w:rFonts w:ascii="仿宋" w:hAnsi="仿宋" w:eastAsia="仿宋" w:cs="宋体"/>
          <w:color w:val="000000"/>
          <w:kern w:val="0"/>
          <w:sz w:val="32"/>
          <w:szCs w:val="32"/>
        </w:rPr>
      </w:pPr>
    </w:p>
    <w:p>
      <w:pPr>
        <w:widowControl/>
        <w:ind w:firstLine="640" w:firstLineChars="200"/>
        <w:rPr>
          <w:rFonts w:ascii="仿宋" w:hAnsi="仿宋" w:eastAsia="仿宋" w:cs="宋体"/>
          <w:color w:val="000000"/>
          <w:kern w:val="0"/>
          <w:sz w:val="32"/>
          <w:szCs w:val="32"/>
        </w:rPr>
      </w:pPr>
    </w:p>
    <w:p>
      <w:pPr>
        <w:widowControl/>
        <w:ind w:firstLine="640" w:firstLineChars="200"/>
        <w:rPr>
          <w:rFonts w:ascii="仿宋" w:hAnsi="仿宋" w:eastAsia="仿宋" w:cs="宋体"/>
          <w:color w:val="000000"/>
          <w:kern w:val="0"/>
          <w:sz w:val="32"/>
          <w:szCs w:val="32"/>
        </w:rPr>
      </w:pPr>
    </w:p>
    <w:p>
      <w:pPr>
        <w:widowControl/>
        <w:ind w:firstLine="640" w:firstLineChars="200"/>
        <w:rPr>
          <w:rFonts w:ascii="仿宋" w:hAnsi="仿宋" w:eastAsia="仿宋" w:cs="宋体"/>
          <w:color w:val="000000"/>
          <w:kern w:val="0"/>
          <w:sz w:val="32"/>
          <w:szCs w:val="32"/>
        </w:rPr>
      </w:pPr>
    </w:p>
    <w:p>
      <w:pPr>
        <w:widowControl/>
        <w:ind w:firstLine="640" w:firstLineChars="200"/>
        <w:rPr>
          <w:rFonts w:ascii="仿宋" w:hAnsi="仿宋" w:eastAsia="仿宋" w:cs="宋体"/>
          <w:color w:val="000000"/>
          <w:kern w:val="0"/>
          <w:sz w:val="32"/>
          <w:szCs w:val="32"/>
        </w:rPr>
      </w:pPr>
    </w:p>
    <w:p>
      <w:pPr>
        <w:widowControl/>
        <w:ind w:firstLine="640" w:firstLineChars="200"/>
        <w:rPr>
          <w:rFonts w:ascii="仿宋" w:hAnsi="仿宋" w:eastAsia="仿宋" w:cs="宋体"/>
          <w:color w:val="000000"/>
          <w:kern w:val="0"/>
          <w:sz w:val="32"/>
          <w:szCs w:val="32"/>
        </w:rPr>
      </w:pP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三《部门支出总表》 </w:t>
      </w:r>
    </w:p>
    <w:p>
      <w:pPr>
        <w:widowControl/>
        <w:ind w:firstLine="480" w:firstLineChars="200"/>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74310" cy="2644775"/>
            <wp:effectExtent l="19050" t="0" r="2540" b="0"/>
            <wp:docPr id="5" name="图片 5" descr="C:\Users\ADMINI~1\AppData\Local\Temp\16121485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1612148581(1).jpg"/>
                    <pic:cNvPicPr>
                      <a:picLocks noChangeAspect="1" noChangeArrowheads="1"/>
                    </pic:cNvPicPr>
                  </pic:nvPicPr>
                  <pic:blipFill>
                    <a:blip r:embed="rId6" cstate="print"/>
                    <a:srcRect/>
                    <a:stretch>
                      <a:fillRect/>
                    </a:stretch>
                  </pic:blipFill>
                  <pic:spPr>
                    <a:xfrm>
                      <a:off x="0" y="0"/>
                      <a:ext cx="5274310" cy="2645258"/>
                    </a:xfrm>
                    <a:prstGeom prst="rect">
                      <a:avLst/>
                    </a:prstGeom>
                    <a:noFill/>
                    <a:ln w="9525">
                      <a:noFill/>
                      <a:miter lim="800000"/>
                      <a:headEnd/>
                      <a:tailEnd/>
                    </a:ln>
                  </pic:spPr>
                </pic:pic>
              </a:graphicData>
            </a:graphic>
          </wp:inline>
        </w:drawing>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四《财政拨款收支总表》 </w:t>
      </w:r>
    </w:p>
    <w:p>
      <w:pPr>
        <w:widowControl/>
        <w:ind w:firstLine="480" w:firstLineChars="200"/>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74310" cy="2651760"/>
            <wp:effectExtent l="1905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cstate="print"/>
                    <a:srcRect/>
                    <a:stretch>
                      <a:fillRect/>
                    </a:stretch>
                  </pic:blipFill>
                  <pic:spPr>
                    <a:xfrm>
                      <a:off x="0" y="0"/>
                      <a:ext cx="5274310" cy="2652002"/>
                    </a:xfrm>
                    <a:prstGeom prst="rect">
                      <a:avLst/>
                    </a:prstGeom>
                    <a:noFill/>
                    <a:ln w="9525">
                      <a:noFill/>
                      <a:miter lim="800000"/>
                      <a:headEnd/>
                      <a:tailEnd/>
                    </a:ln>
                  </pic:spPr>
                </pic:pic>
              </a:graphicData>
            </a:graphic>
          </wp:inline>
        </w:drawing>
      </w:r>
    </w:p>
    <w:p>
      <w:pPr>
        <w:widowControl/>
        <w:ind w:firstLine="640" w:firstLineChars="200"/>
        <w:rPr>
          <w:rFonts w:ascii="仿宋" w:hAnsi="仿宋" w:eastAsia="仿宋" w:cs="宋体"/>
          <w:color w:val="000000"/>
          <w:kern w:val="0"/>
          <w:sz w:val="32"/>
          <w:szCs w:val="32"/>
        </w:rPr>
      </w:pPr>
    </w:p>
    <w:p>
      <w:pPr>
        <w:widowControl/>
        <w:ind w:firstLine="640" w:firstLineChars="200"/>
        <w:rPr>
          <w:rFonts w:ascii="仿宋" w:hAnsi="仿宋" w:eastAsia="仿宋" w:cs="宋体"/>
          <w:color w:val="000000"/>
          <w:kern w:val="0"/>
          <w:sz w:val="32"/>
          <w:szCs w:val="32"/>
        </w:rPr>
      </w:pPr>
    </w:p>
    <w:p>
      <w:pPr>
        <w:widowControl/>
        <w:ind w:firstLine="640" w:firstLineChars="200"/>
        <w:rPr>
          <w:rFonts w:ascii="仿宋" w:hAnsi="仿宋" w:eastAsia="仿宋" w:cs="宋体"/>
          <w:color w:val="000000"/>
          <w:kern w:val="0"/>
          <w:sz w:val="32"/>
          <w:szCs w:val="32"/>
        </w:rPr>
      </w:pPr>
    </w:p>
    <w:p>
      <w:pPr>
        <w:widowControl/>
        <w:ind w:firstLine="640" w:firstLineChars="200"/>
        <w:rPr>
          <w:rFonts w:ascii="仿宋" w:hAnsi="仿宋" w:eastAsia="仿宋" w:cs="宋体"/>
          <w:color w:val="000000"/>
          <w:kern w:val="0"/>
          <w:sz w:val="32"/>
          <w:szCs w:val="32"/>
        </w:rPr>
      </w:pPr>
    </w:p>
    <w:p>
      <w:pPr>
        <w:widowControl/>
        <w:ind w:firstLine="640" w:firstLineChars="200"/>
        <w:rPr>
          <w:rFonts w:ascii="仿宋" w:hAnsi="仿宋" w:eastAsia="仿宋" w:cs="宋体"/>
          <w:color w:val="000000"/>
          <w:kern w:val="0"/>
          <w:sz w:val="32"/>
          <w:szCs w:val="32"/>
        </w:rPr>
      </w:pPr>
    </w:p>
    <w:p>
      <w:pPr>
        <w:widowControl/>
        <w:ind w:firstLine="640" w:firstLineChars="200"/>
        <w:rPr>
          <w:rFonts w:ascii="仿宋" w:hAnsi="仿宋" w:eastAsia="仿宋" w:cs="宋体"/>
          <w:color w:val="000000"/>
          <w:kern w:val="0"/>
          <w:sz w:val="32"/>
          <w:szCs w:val="32"/>
        </w:rPr>
      </w:pP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五《一般公共预算支出表》 </w:t>
      </w:r>
    </w:p>
    <w:p>
      <w:pPr>
        <w:widowControl/>
        <w:ind w:firstLine="480" w:firstLineChars="200"/>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74310" cy="2756535"/>
            <wp:effectExtent l="1905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cstate="print"/>
                    <a:srcRect/>
                    <a:stretch>
                      <a:fillRect/>
                    </a:stretch>
                  </pic:blipFill>
                  <pic:spPr>
                    <a:xfrm>
                      <a:off x="0" y="0"/>
                      <a:ext cx="5274310" cy="2756774"/>
                    </a:xfrm>
                    <a:prstGeom prst="rect">
                      <a:avLst/>
                    </a:prstGeom>
                    <a:noFill/>
                    <a:ln w="9525">
                      <a:noFill/>
                      <a:miter lim="800000"/>
                      <a:headEnd/>
                      <a:tailEnd/>
                    </a:ln>
                  </pic:spPr>
                </pic:pic>
              </a:graphicData>
            </a:graphic>
          </wp:inline>
        </w:drawing>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六《一般公共预算基本支出表》</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drawing>
          <wp:inline distT="0" distB="0" distL="0" distR="0">
            <wp:extent cx="5274310" cy="4008120"/>
            <wp:effectExtent l="1905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9" cstate="print"/>
                    <a:srcRect/>
                    <a:stretch>
                      <a:fillRect/>
                    </a:stretch>
                  </pic:blipFill>
                  <pic:spPr>
                    <a:xfrm>
                      <a:off x="0" y="0"/>
                      <a:ext cx="5274310" cy="4008288"/>
                    </a:xfrm>
                    <a:prstGeom prst="rect">
                      <a:avLst/>
                    </a:prstGeom>
                    <a:noFill/>
                    <a:ln w="9525">
                      <a:noFill/>
                      <a:miter lim="800000"/>
                      <a:headEnd/>
                      <a:tailEnd/>
                    </a:ln>
                  </pic:spPr>
                </pic:pic>
              </a:graphicData>
            </a:graphic>
          </wp:inline>
        </w:drawing>
      </w:r>
    </w:p>
    <w:p>
      <w:pPr>
        <w:widowControl/>
        <w:ind w:firstLine="640" w:firstLineChars="200"/>
        <w:rPr>
          <w:rFonts w:ascii="仿宋" w:hAnsi="仿宋" w:eastAsia="仿宋" w:cs="宋体"/>
          <w:color w:val="000000"/>
          <w:kern w:val="0"/>
          <w:sz w:val="32"/>
          <w:szCs w:val="32"/>
        </w:rPr>
      </w:pPr>
    </w:p>
    <w:p>
      <w:pPr>
        <w:widowControl/>
        <w:ind w:firstLine="640" w:firstLineChars="200"/>
        <w:rPr>
          <w:rFonts w:ascii="仿宋" w:hAnsi="仿宋" w:eastAsia="仿宋" w:cs="宋体"/>
          <w:color w:val="000000"/>
          <w:kern w:val="0"/>
          <w:sz w:val="32"/>
          <w:szCs w:val="32"/>
        </w:rPr>
      </w:pP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七《一般公共预算“三公”经费支出表》 </w:t>
      </w:r>
    </w:p>
    <w:p>
      <w:pPr>
        <w:widowControl/>
        <w:ind w:firstLine="480" w:firstLineChars="200"/>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74310" cy="1093470"/>
            <wp:effectExtent l="1905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srcRect/>
                    <a:stretch>
                      <a:fillRect/>
                    </a:stretch>
                  </pic:blipFill>
                  <pic:spPr>
                    <a:xfrm>
                      <a:off x="0" y="0"/>
                      <a:ext cx="5274310" cy="1093992"/>
                    </a:xfrm>
                    <a:prstGeom prst="rect">
                      <a:avLst/>
                    </a:prstGeom>
                    <a:noFill/>
                    <a:ln w="9525">
                      <a:noFill/>
                      <a:miter lim="800000"/>
                      <a:headEnd/>
                      <a:tailEnd/>
                    </a:ln>
                  </pic:spPr>
                </pic:pic>
              </a:graphicData>
            </a:graphic>
          </wp:inline>
        </w:drawing>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八《政府性基金预算支出表》 </w:t>
      </w:r>
    </w:p>
    <w:p>
      <w:pPr>
        <w:widowControl/>
        <w:ind w:firstLine="480" w:firstLineChars="200"/>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74310" cy="1456690"/>
            <wp:effectExtent l="1905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1" cstate="print"/>
                    <a:srcRect/>
                    <a:stretch>
                      <a:fillRect/>
                    </a:stretch>
                  </pic:blipFill>
                  <pic:spPr>
                    <a:xfrm>
                      <a:off x="0" y="0"/>
                      <a:ext cx="5274310" cy="1457272"/>
                    </a:xfrm>
                    <a:prstGeom prst="rect">
                      <a:avLst/>
                    </a:prstGeom>
                    <a:noFill/>
                    <a:ln w="9525">
                      <a:noFill/>
                      <a:miter lim="800000"/>
                      <a:headEnd/>
                      <a:tailEnd/>
                    </a:ln>
                  </pic:spPr>
                </pic:pic>
              </a:graphicData>
            </a:graphic>
          </wp:inline>
        </w:drawing>
      </w:r>
    </w:p>
    <w:p>
      <w:pPr>
        <w:widowControl/>
        <w:ind w:firstLine="640" w:firstLineChars="200"/>
        <w:rPr>
          <w:rFonts w:hint="eastAsia" w:ascii="宋体" w:hAnsi="宋体" w:eastAsia="仿宋" w:cs="宋体"/>
          <w:kern w:val="0"/>
          <w:sz w:val="24"/>
          <w:szCs w:val="24"/>
          <w:lang w:val="en-US" w:eastAsia="zh-CN"/>
        </w:rPr>
      </w:pPr>
      <w:r>
        <w:rPr>
          <w:rFonts w:hint="eastAsia" w:ascii="仿宋" w:hAnsi="仿宋" w:eastAsia="仿宋" w:cs="宋体"/>
          <w:color w:val="000000"/>
          <w:kern w:val="0"/>
          <w:sz w:val="32"/>
          <w:szCs w:val="32"/>
        </w:rPr>
        <w:t>九《</w:t>
      </w:r>
      <w:r>
        <w:rPr>
          <w:rFonts w:hint="eastAsia" w:ascii="仿宋" w:hAnsi="仿宋" w:eastAsia="仿宋" w:cs="宋体"/>
          <w:color w:val="000000"/>
          <w:kern w:val="0"/>
          <w:sz w:val="32"/>
          <w:szCs w:val="32"/>
          <w:lang w:val="en-US" w:eastAsia="zh-CN"/>
        </w:rPr>
        <w:t>部门整体支出目标表</w:t>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val="en-US" w:eastAsia="zh-CN"/>
        </w:rPr>
        <w:t>和《项目绩效目标表》</w:t>
      </w:r>
    </w:p>
    <w:p>
      <w:pPr>
        <w:widowControl/>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r>
        <w:drawing>
          <wp:inline distT="0" distB="0" distL="114300" distR="114300">
            <wp:extent cx="5270500" cy="5839460"/>
            <wp:effectExtent l="0" t="0" r="6350"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5270500" cy="5839460"/>
                    </a:xfrm>
                    <a:prstGeom prst="rect">
                      <a:avLst/>
                    </a:prstGeom>
                    <a:noFill/>
                    <a:ln>
                      <a:noFill/>
                    </a:ln>
                  </pic:spPr>
                </pic:pic>
              </a:graphicData>
            </a:graphic>
          </wp:inline>
        </w:drawing>
      </w:r>
    </w:p>
    <w:p>
      <w:pPr>
        <w:widowControl/>
        <w:ind w:firstLine="640" w:firstLineChars="200"/>
        <w:rPr>
          <w:rFonts w:hint="eastAsia" w:ascii="仿宋" w:hAnsi="仿宋" w:eastAsia="仿宋" w:cs="宋体"/>
          <w:color w:val="000000"/>
          <w:kern w:val="0"/>
          <w:sz w:val="32"/>
          <w:szCs w:val="32"/>
        </w:rPr>
      </w:pPr>
    </w:p>
    <w:p>
      <w:pPr>
        <w:widowControl/>
        <w:ind w:firstLine="640" w:firstLineChars="200"/>
        <w:rPr>
          <w:rFonts w:hint="eastAsia" w:ascii="仿宋" w:hAnsi="仿宋" w:eastAsia="仿宋" w:cs="宋体"/>
          <w:color w:val="000000"/>
          <w:kern w:val="0"/>
          <w:sz w:val="32"/>
          <w:szCs w:val="32"/>
        </w:rPr>
      </w:pPr>
    </w:p>
    <w:p>
      <w:pPr>
        <w:widowControl/>
        <w:ind w:firstLine="640" w:firstLineChars="200"/>
        <w:rPr>
          <w:rFonts w:hint="eastAsia" w:ascii="仿宋" w:hAnsi="仿宋" w:eastAsia="仿宋" w:cs="宋体"/>
          <w:color w:val="000000"/>
          <w:kern w:val="0"/>
          <w:sz w:val="32"/>
          <w:szCs w:val="32"/>
        </w:rPr>
      </w:pPr>
    </w:p>
    <w:p>
      <w:pPr>
        <w:widowControl/>
        <w:ind w:firstLine="640" w:firstLineChars="200"/>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drawing>
          <wp:inline distT="0" distB="0" distL="114300" distR="114300">
            <wp:extent cx="5153025" cy="7029450"/>
            <wp:effectExtent l="0" t="0" r="9525" b="0"/>
            <wp:docPr id="3" name="图片 3" descr="1662090548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2090548550"/>
                    <pic:cNvPicPr>
                      <a:picLocks noChangeAspect="1"/>
                    </pic:cNvPicPr>
                  </pic:nvPicPr>
                  <pic:blipFill>
                    <a:blip r:embed="rId13"/>
                    <a:stretch>
                      <a:fillRect/>
                    </a:stretch>
                  </pic:blipFill>
                  <pic:spPr>
                    <a:xfrm>
                      <a:off x="0" y="0"/>
                      <a:ext cx="5153025" cy="7029450"/>
                    </a:xfrm>
                    <a:prstGeom prst="rect">
                      <a:avLst/>
                    </a:prstGeom>
                  </pic:spPr>
                </pic:pic>
              </a:graphicData>
            </a:graphic>
          </wp:inline>
        </w:drawing>
      </w:r>
    </w:p>
    <w:p>
      <w:pPr>
        <w:widowControl/>
        <w:ind w:firstLine="640" w:firstLineChars="200"/>
        <w:rPr>
          <w:rFonts w:ascii="仿宋" w:hAnsi="仿宋" w:eastAsia="仿宋" w:cs="宋体"/>
          <w:color w:val="000000"/>
          <w:kern w:val="0"/>
          <w:sz w:val="32"/>
          <w:szCs w:val="32"/>
        </w:rPr>
      </w:pPr>
    </w:p>
    <w:p>
      <w:pPr>
        <w:widowControl/>
        <w:ind w:firstLine="640" w:firstLineChars="200"/>
        <w:rPr>
          <w:rFonts w:ascii="仿宋" w:hAnsi="仿宋" w:eastAsia="仿宋" w:cs="宋体"/>
          <w:color w:val="000000"/>
          <w:kern w:val="0"/>
          <w:sz w:val="32"/>
          <w:szCs w:val="32"/>
        </w:rPr>
      </w:pPr>
    </w:p>
    <w:p>
      <w:pPr>
        <w:widowControl/>
        <w:ind w:firstLine="480" w:firstLineChars="200"/>
        <w:rPr>
          <w:rFonts w:ascii="宋体" w:hAnsi="宋体" w:eastAsia="宋体" w:cs="宋体"/>
          <w:kern w:val="0"/>
          <w:sz w:val="24"/>
          <w:szCs w:val="24"/>
        </w:rPr>
      </w:pPr>
    </w:p>
    <w:p>
      <w:pPr>
        <w:widowControl/>
        <w:ind w:firstLine="480" w:firstLineChars="200"/>
        <w:rPr>
          <w:rFonts w:ascii="宋体" w:hAnsi="宋体" w:eastAsia="宋体" w:cs="宋体"/>
          <w:kern w:val="0"/>
          <w:sz w:val="24"/>
          <w:szCs w:val="24"/>
        </w:rPr>
      </w:pPr>
    </w:p>
    <w:p>
      <w:pPr>
        <w:widowControl/>
        <w:ind w:firstLine="480" w:firstLineChars="200"/>
        <w:rPr>
          <w:rFonts w:ascii="宋体" w:hAnsi="宋体" w:eastAsia="宋体" w:cs="宋体"/>
          <w:kern w:val="0"/>
          <w:sz w:val="24"/>
          <w:szCs w:val="24"/>
        </w:rPr>
      </w:pPr>
    </w:p>
    <w:p>
      <w:pPr>
        <w:widowControl/>
        <w:ind w:firstLine="480" w:firstLineChars="200"/>
        <w:rPr>
          <w:rFonts w:ascii="宋体" w:hAnsi="宋体" w:eastAsia="宋体" w:cs="宋体"/>
          <w:kern w:val="0"/>
          <w:sz w:val="24"/>
          <w:szCs w:val="24"/>
        </w:rPr>
      </w:pPr>
    </w:p>
    <w:p>
      <w:pPr>
        <w:widowControl/>
        <w:jc w:val="center"/>
        <w:rPr>
          <w:rFonts w:ascii="宋体" w:hAnsi="宋体" w:eastAsia="宋体" w:cs="宋体"/>
          <w:kern w:val="0"/>
          <w:sz w:val="24"/>
          <w:szCs w:val="24"/>
        </w:rPr>
      </w:pPr>
      <w:r>
        <w:rPr>
          <w:rFonts w:hint="eastAsia" w:ascii="仿宋" w:hAnsi="仿宋" w:eastAsia="仿宋" w:cs="宋体"/>
          <w:b/>
          <w:bCs/>
          <w:color w:val="000000"/>
          <w:kern w:val="0"/>
          <w:sz w:val="32"/>
          <w:szCs w:val="32"/>
        </w:rPr>
        <w:t>第四部分</w:t>
      </w:r>
      <w:r>
        <w:rPr>
          <w:rFonts w:hint="eastAsia" w:ascii="宋体" w:hAnsi="宋体" w:eastAsia="宋体" w:cs="宋体"/>
          <w:kern w:val="0"/>
          <w:sz w:val="24"/>
          <w:szCs w:val="24"/>
        </w:rPr>
        <w:t xml:space="preserve">  </w:t>
      </w:r>
      <w:r>
        <w:rPr>
          <w:rFonts w:hint="eastAsia" w:ascii="仿宋" w:hAnsi="仿宋" w:eastAsia="仿宋" w:cs="宋体"/>
          <w:b/>
          <w:bCs/>
          <w:color w:val="000000"/>
          <w:kern w:val="0"/>
          <w:sz w:val="32"/>
          <w:szCs w:val="32"/>
        </w:rPr>
        <w:t xml:space="preserve">名词解释 </w:t>
      </w:r>
    </w:p>
    <w:p>
      <w:pPr>
        <w:widowControl/>
        <w:ind w:firstLine="800" w:firstLineChars="250"/>
        <w:rPr>
          <w:rFonts w:ascii="宋体" w:hAnsi="宋体" w:eastAsia="宋体" w:cs="宋体"/>
          <w:b/>
          <w:kern w:val="0"/>
          <w:sz w:val="24"/>
          <w:szCs w:val="24"/>
        </w:rPr>
      </w:pPr>
      <w:r>
        <w:rPr>
          <w:rFonts w:hint="eastAsia" w:ascii="仿宋" w:hAnsi="仿宋" w:eastAsia="仿宋" w:cs="宋体"/>
          <w:color w:val="000000"/>
          <w:kern w:val="0"/>
          <w:sz w:val="32"/>
          <w:szCs w:val="32"/>
        </w:rPr>
        <w:t>一、收入科目</w:t>
      </w:r>
      <w:r>
        <w:rPr>
          <w:rFonts w:hint="eastAsia" w:ascii="仿宋" w:hAnsi="仿宋" w:eastAsia="仿宋" w:cs="宋体"/>
          <w:b/>
          <w:color w:val="000000"/>
          <w:kern w:val="0"/>
          <w:sz w:val="32"/>
          <w:szCs w:val="32"/>
        </w:rPr>
        <w:t>(对照部门预算报表，根据单位实际使用的科目填写)</w:t>
      </w:r>
    </w:p>
    <w:p>
      <w:pPr>
        <w:spacing w:line="400" w:lineRule="exact"/>
        <w:rPr>
          <w:rFonts w:hint="eastAsia" w:ascii="仿宋" w:hAnsi="仿宋" w:eastAsia="仿宋" w:cs="仿宋"/>
          <w:sz w:val="32"/>
          <w:szCs w:val="32"/>
        </w:rPr>
      </w:pPr>
      <w:r>
        <w:rPr>
          <w:rFonts w:hint="eastAsia" w:ascii="仿宋" w:hAnsi="仿宋" w:eastAsia="仿宋" w:cs="仿宋"/>
          <w:sz w:val="32"/>
          <w:szCs w:val="32"/>
        </w:rPr>
        <w:t>一、收入科目</w:t>
      </w:r>
    </w:p>
    <w:p>
      <w:pPr>
        <w:spacing w:line="400" w:lineRule="exact"/>
        <w:rPr>
          <w:rFonts w:hint="eastAsia" w:ascii="仿宋" w:hAnsi="仿宋" w:eastAsia="仿宋" w:cs="仿宋"/>
          <w:sz w:val="32"/>
          <w:szCs w:val="32"/>
        </w:rPr>
      </w:pPr>
      <w:r>
        <w:rPr>
          <w:rFonts w:hint="eastAsia" w:ascii="仿宋" w:hAnsi="仿宋" w:eastAsia="仿宋" w:cs="仿宋"/>
          <w:sz w:val="32"/>
          <w:szCs w:val="32"/>
        </w:rPr>
        <w:t>　　（一）财政拨款：指县级财政当年拨付的资金。</w:t>
      </w:r>
    </w:p>
    <w:p>
      <w:pPr>
        <w:spacing w:line="400" w:lineRule="exact"/>
        <w:rPr>
          <w:rFonts w:hint="eastAsia" w:ascii="仿宋" w:hAnsi="仿宋" w:eastAsia="仿宋" w:cs="仿宋"/>
          <w:sz w:val="32"/>
          <w:szCs w:val="32"/>
        </w:rPr>
      </w:pPr>
      <w:r>
        <w:rPr>
          <w:rFonts w:hint="eastAsia" w:ascii="仿宋" w:hAnsi="仿宋" w:eastAsia="仿宋" w:cs="仿宋"/>
          <w:sz w:val="32"/>
          <w:szCs w:val="32"/>
        </w:rPr>
        <w:t>　　（二）事业收入：指事业单位开展专业业务活动及辅助活动取得的收入。</w:t>
      </w:r>
    </w:p>
    <w:p>
      <w:pPr>
        <w:spacing w:line="400" w:lineRule="exact"/>
        <w:rPr>
          <w:rFonts w:hint="eastAsia" w:ascii="仿宋" w:hAnsi="仿宋" w:eastAsia="仿宋" w:cs="仿宋"/>
          <w:sz w:val="32"/>
          <w:szCs w:val="32"/>
        </w:rPr>
      </w:pPr>
      <w:r>
        <w:rPr>
          <w:rFonts w:hint="eastAsia" w:ascii="仿宋" w:hAnsi="仿宋" w:eastAsia="仿宋" w:cs="仿宋"/>
          <w:sz w:val="32"/>
          <w:szCs w:val="32"/>
        </w:rPr>
        <w:t>　　（三）其他收入：指除财政拨款、事业收入等以外的各项收入。</w:t>
      </w:r>
    </w:p>
    <w:p>
      <w:pPr>
        <w:spacing w:line="400" w:lineRule="exact"/>
        <w:rPr>
          <w:rFonts w:hint="eastAsia" w:ascii="仿宋" w:hAnsi="仿宋" w:eastAsia="仿宋" w:cs="仿宋"/>
          <w:sz w:val="32"/>
          <w:szCs w:val="32"/>
        </w:rPr>
      </w:pPr>
      <w:r>
        <w:rPr>
          <w:rFonts w:hint="eastAsia" w:ascii="仿宋" w:hAnsi="仿宋" w:eastAsia="仿宋" w:cs="仿宋"/>
          <w:sz w:val="32"/>
          <w:szCs w:val="32"/>
        </w:rPr>
        <w:t>　　（四）上级补助收入：反映事业单位从主管部门和上级单位取得的非财政补助收入。</w:t>
      </w:r>
    </w:p>
    <w:p>
      <w:pPr>
        <w:spacing w:line="400" w:lineRule="exact"/>
        <w:rPr>
          <w:rFonts w:hint="eastAsia" w:ascii="仿宋" w:hAnsi="仿宋" w:eastAsia="仿宋" w:cs="仿宋"/>
          <w:sz w:val="32"/>
          <w:szCs w:val="32"/>
        </w:rPr>
      </w:pPr>
      <w:r>
        <w:rPr>
          <w:rFonts w:hint="eastAsia" w:ascii="仿宋" w:hAnsi="仿宋" w:eastAsia="仿宋" w:cs="仿宋"/>
          <w:sz w:val="32"/>
          <w:szCs w:val="32"/>
        </w:rPr>
        <w:t>　　二、支出科目</w:t>
      </w:r>
    </w:p>
    <w:p>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（一）一般公共服务支出：反映行政单位的基本支出。</w:t>
      </w:r>
    </w:p>
    <w:p>
      <w:pPr>
        <w:spacing w:line="400" w:lineRule="exact"/>
        <w:rPr>
          <w:rFonts w:hint="eastAsia" w:ascii="仿宋" w:hAnsi="仿宋" w:eastAsia="仿宋" w:cs="仿宋"/>
          <w:sz w:val="32"/>
          <w:szCs w:val="32"/>
        </w:rPr>
      </w:pPr>
      <w:r>
        <w:rPr>
          <w:rFonts w:hint="eastAsia" w:ascii="仿宋" w:hAnsi="仿宋" w:eastAsia="仿宋" w:cs="仿宋"/>
          <w:sz w:val="32"/>
          <w:szCs w:val="32"/>
        </w:rPr>
        <w:t>　　（二）行政运行：反映行政单位的基本支出。</w:t>
      </w:r>
    </w:p>
    <w:p>
      <w:pPr>
        <w:spacing w:line="40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　（三）事业支出：反映事业单位的基本支出。</w:t>
      </w:r>
    </w:p>
    <w:p>
      <w:pPr>
        <w:spacing w:line="400" w:lineRule="exact"/>
        <w:rPr>
          <w:rFonts w:hint="eastAsia" w:ascii="仿宋" w:hAnsi="仿宋" w:eastAsia="仿宋" w:cs="仿宋"/>
          <w:sz w:val="32"/>
          <w:szCs w:val="32"/>
        </w:rPr>
      </w:pPr>
      <w:r>
        <w:rPr>
          <w:rFonts w:hint="eastAsia" w:ascii="仿宋" w:hAnsi="仿宋" w:eastAsia="仿宋" w:cs="仿宋"/>
          <w:sz w:val="32"/>
          <w:szCs w:val="32"/>
        </w:rPr>
        <w:t>　　（四）其他财政事务支出：反映除上述项目以外的其他财政事务方面的支出。</w:t>
      </w:r>
    </w:p>
    <w:p>
      <w:pPr>
        <w:spacing w:line="400" w:lineRule="exact"/>
        <w:rPr>
          <w:rFonts w:hint="eastAsia" w:ascii="仿宋" w:hAnsi="仿宋" w:eastAsia="仿宋" w:cs="仿宋"/>
          <w:sz w:val="32"/>
          <w:szCs w:val="32"/>
        </w:rPr>
      </w:pPr>
      <w:r>
        <w:rPr>
          <w:rFonts w:hint="eastAsia" w:ascii="仿宋" w:hAnsi="仿宋" w:eastAsia="仿宋" w:cs="仿宋"/>
          <w:sz w:val="32"/>
          <w:szCs w:val="32"/>
        </w:rPr>
        <w:t>　　（五）行政事业单位医疗支出：反映政府医疗卫生与计划生育管理方面的支出。</w:t>
      </w:r>
    </w:p>
    <w:p>
      <w:pPr>
        <w:spacing w:line="400" w:lineRule="exact"/>
        <w:rPr>
          <w:rFonts w:hint="eastAsia" w:ascii="仿宋" w:hAnsi="仿宋" w:eastAsia="仿宋" w:cs="仿宋"/>
          <w:sz w:val="32"/>
          <w:szCs w:val="32"/>
        </w:rPr>
      </w:pPr>
      <w:r>
        <w:rPr>
          <w:rFonts w:hint="eastAsia" w:ascii="仿宋" w:hAnsi="仿宋" w:eastAsia="仿宋" w:cs="仿宋"/>
          <w:sz w:val="32"/>
          <w:szCs w:val="32"/>
        </w:rPr>
        <w:t>　　（六）住房公积金支出：反映行政事业单位按人力资源和社会保障部、财政部规定的基本工资和津补贴以及规定比例为职工缴纳的住房公积金。</w:t>
      </w:r>
    </w:p>
    <w:p>
      <w:pPr>
        <w:spacing w:line="400" w:lineRule="exact"/>
        <w:rPr>
          <w:rFonts w:hint="eastAsia" w:ascii="仿宋" w:hAnsi="仿宋" w:eastAsia="仿宋" w:cs="仿宋"/>
          <w:sz w:val="32"/>
          <w:szCs w:val="32"/>
        </w:rPr>
      </w:pPr>
    </w:p>
    <w:p>
      <w:pPr>
        <w:widowControl/>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3A48FF"/>
    <w:multiLevelType w:val="multilevel"/>
    <w:tmpl w:val="473A48FF"/>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E4ZjFmYzQzNGU0ZjUxMzA0MzM1ODFjY2EwZTBiODgifQ=="/>
  </w:docVars>
  <w:rsids>
    <w:rsidRoot w:val="004D29BE"/>
    <w:rsid w:val="0007752E"/>
    <w:rsid w:val="00194775"/>
    <w:rsid w:val="001D0206"/>
    <w:rsid w:val="002D34DD"/>
    <w:rsid w:val="00383B01"/>
    <w:rsid w:val="003B2BCE"/>
    <w:rsid w:val="004C7ECC"/>
    <w:rsid w:val="004D29BE"/>
    <w:rsid w:val="004F6683"/>
    <w:rsid w:val="005F5C5C"/>
    <w:rsid w:val="006021FC"/>
    <w:rsid w:val="00924C13"/>
    <w:rsid w:val="00925C26"/>
    <w:rsid w:val="009410F6"/>
    <w:rsid w:val="009C0F25"/>
    <w:rsid w:val="00C54A49"/>
    <w:rsid w:val="00C740A6"/>
    <w:rsid w:val="00CC2E6B"/>
    <w:rsid w:val="00D71C96"/>
    <w:rsid w:val="00FB75DC"/>
    <w:rsid w:val="019B4300"/>
    <w:rsid w:val="188E3CC8"/>
    <w:rsid w:val="1FEE2A21"/>
    <w:rsid w:val="24FE0A2F"/>
    <w:rsid w:val="38F94D97"/>
    <w:rsid w:val="3E794697"/>
    <w:rsid w:val="4F6C529B"/>
    <w:rsid w:val="51A61017"/>
    <w:rsid w:val="65955BE2"/>
    <w:rsid w:val="6BBF0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styleId="5">
    <w:name w:val="List Paragraph"/>
    <w:basedOn w:val="1"/>
    <w:unhideWhenUsed/>
    <w:uiPriority w:val="99"/>
    <w:pPr>
      <w:ind w:firstLine="420" w:firstLineChars="200"/>
    </w:pPr>
  </w:style>
  <w:style w:type="character" w:customStyle="1" w:styleId="6">
    <w:name w:val="批注框文本 Char"/>
    <w:basedOn w:val="4"/>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2030</Words>
  <Characters>2251</Characters>
  <Lines>16</Lines>
  <Paragraphs>4</Paragraphs>
  <TotalTime>1</TotalTime>
  <ScaleCrop>false</ScaleCrop>
  <LinksUpToDate>false</LinksUpToDate>
  <CharactersWithSpaces>2357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2021-03-15T07:17:00Z</dcterms:created>
  <dc:creator>Administrator</dc:creator>
  <cp:lastModifiedBy>Administrator</cp:lastModifiedBy>
  <dcterms:modified xsi:type="dcterms:W3CDTF">2022-09-02T03:53:04Z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61ED825135904BD286440C4F41EB567B</vt:lpwstr>
  </property>
</Properties>
</file>