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7B1B4">
      <w:pPr>
        <w:pStyle w:val="5"/>
        <w:widowControl/>
        <w:shd w:val="clear" w:color="auto" w:fill="FFFFFF"/>
        <w:spacing w:before="0" w:beforeAutospacing="0" w:after="0" w:afterAutospacing="0" w:line="480" w:lineRule="atLeast"/>
        <w:jc w:val="center"/>
        <w:rPr>
          <w:rFonts w:hint="eastAsia" w:ascii="宋体" w:hAnsi="宋体" w:cs="宋体"/>
          <w:b/>
          <w:bCs/>
          <w:color w:val="434343"/>
          <w:sz w:val="32"/>
          <w:szCs w:val="32"/>
        </w:rPr>
      </w:pPr>
      <w:r>
        <w:rPr>
          <w:rFonts w:hint="eastAsia" w:ascii="宋体" w:hAnsi="宋体" w:cs="宋体"/>
          <w:b/>
          <w:bCs/>
          <w:color w:val="434343"/>
          <w:sz w:val="32"/>
          <w:szCs w:val="32"/>
          <w:shd w:val="clear" w:color="auto" w:fill="FFFFFF"/>
        </w:rPr>
        <w:t>德安县红十字会</w:t>
      </w:r>
      <w:r>
        <w:rPr>
          <w:rFonts w:hint="eastAsia" w:ascii="宋体" w:hAnsi="宋体" w:cs="宋体"/>
          <w:b/>
          <w:bCs/>
          <w:color w:val="434343"/>
          <w:sz w:val="32"/>
          <w:szCs w:val="32"/>
          <w:shd w:val="clear" w:color="auto" w:fill="FFFFFF"/>
          <w:lang w:val="en-US" w:eastAsia="zh-CN"/>
        </w:rPr>
        <w:t>2025</w:t>
      </w:r>
      <w:r>
        <w:rPr>
          <w:rFonts w:hint="eastAsia" w:ascii="宋体" w:hAnsi="宋体" w:cs="宋体"/>
          <w:b/>
          <w:bCs/>
          <w:color w:val="434343"/>
          <w:sz w:val="32"/>
          <w:szCs w:val="32"/>
          <w:shd w:val="clear" w:color="auto" w:fill="FFFFFF"/>
        </w:rPr>
        <w:t>年部门预算</w:t>
      </w:r>
    </w:p>
    <w:p w14:paraId="3D5A41EF">
      <w:pPr>
        <w:pStyle w:val="5"/>
        <w:widowControl/>
        <w:shd w:val="clear" w:color="auto" w:fill="FFFFFF"/>
        <w:spacing w:before="0" w:beforeAutospacing="0" w:after="0" w:afterAutospacing="0" w:line="480" w:lineRule="atLeast"/>
        <w:jc w:val="center"/>
        <w:rPr>
          <w:rFonts w:hint="eastAsia" w:ascii="宋体" w:hAnsi="宋体" w:cs="宋体"/>
          <w:b/>
          <w:bCs/>
          <w:color w:val="434343"/>
          <w:sz w:val="32"/>
          <w:szCs w:val="32"/>
        </w:rPr>
      </w:pPr>
      <w:r>
        <w:rPr>
          <w:rFonts w:hint="eastAsia" w:ascii="宋体" w:hAnsi="宋体" w:cs="宋体"/>
          <w:b/>
          <w:bCs/>
          <w:color w:val="434343"/>
          <w:sz w:val="32"/>
          <w:szCs w:val="32"/>
          <w:shd w:val="clear" w:color="auto" w:fill="FFFFFF"/>
        </w:rPr>
        <w:t>目  录</w:t>
      </w:r>
    </w:p>
    <w:p w14:paraId="57A944A3">
      <w:pPr>
        <w:pStyle w:val="5"/>
        <w:widowControl/>
        <w:shd w:val="clear" w:color="auto" w:fill="FFFFFF"/>
        <w:spacing w:before="0" w:beforeAutospacing="0" w:after="0" w:afterAutospacing="0" w:line="480" w:lineRule="atLeast"/>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第一部分 德安县红十字会概况</w:t>
      </w:r>
    </w:p>
    <w:p w14:paraId="2E9545BF">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一、部门主要职责</w:t>
      </w:r>
    </w:p>
    <w:p w14:paraId="6CA1AB2C">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二、机构设置及人员情况</w:t>
      </w:r>
    </w:p>
    <w:p w14:paraId="65447046">
      <w:pPr>
        <w:pStyle w:val="5"/>
        <w:widowControl/>
        <w:shd w:val="clear" w:color="auto" w:fill="FFFFFF"/>
        <w:spacing w:before="0" w:beforeAutospacing="0" w:after="0" w:afterAutospacing="0" w:line="480" w:lineRule="atLeast"/>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第二部分 德安县红十字会202</w:t>
      </w:r>
      <w:r>
        <w:rPr>
          <w:rFonts w:hint="eastAsia" w:ascii="仿宋" w:hAnsi="仿宋" w:eastAsia="仿宋" w:cs="仿宋"/>
          <w:b/>
          <w:bCs/>
          <w:color w:val="434343"/>
          <w:sz w:val="32"/>
          <w:szCs w:val="32"/>
          <w:shd w:val="clear" w:color="auto" w:fill="FFFFFF"/>
          <w:lang w:val="en-US" w:eastAsia="zh-CN"/>
        </w:rPr>
        <w:t>5</w:t>
      </w:r>
      <w:r>
        <w:rPr>
          <w:rFonts w:hint="eastAsia" w:ascii="仿宋" w:hAnsi="仿宋" w:eastAsia="仿宋" w:cs="仿宋"/>
          <w:b/>
          <w:bCs/>
          <w:color w:val="434343"/>
          <w:sz w:val="32"/>
          <w:szCs w:val="32"/>
          <w:shd w:val="clear" w:color="auto" w:fill="FFFFFF"/>
        </w:rPr>
        <w:t>年部门预算表</w:t>
      </w:r>
    </w:p>
    <w:p w14:paraId="2FEB5503">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一、《收支预算总表》</w:t>
      </w:r>
    </w:p>
    <w:p w14:paraId="5EF4BC67">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二、《部门收入总表》</w:t>
      </w:r>
    </w:p>
    <w:p w14:paraId="2BEFA6DF">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三、《部门支出总表》</w:t>
      </w:r>
    </w:p>
    <w:p w14:paraId="5F60618B">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四、《财政拨款收支总表》</w:t>
      </w:r>
    </w:p>
    <w:p w14:paraId="0F37CA1A">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五、《一般公共预算支出表》</w:t>
      </w:r>
    </w:p>
    <w:p w14:paraId="584D0264">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六、《一般公共预算基本支出表》</w:t>
      </w:r>
    </w:p>
    <w:p w14:paraId="33663631">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七、《一般公共预算“三公”经费支出表》</w:t>
      </w:r>
    </w:p>
    <w:p w14:paraId="28FAEAD0">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八、《政府性基金预算支出表》</w:t>
      </w:r>
    </w:p>
    <w:p w14:paraId="79937CE7">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九、《国有资本经营预算支出表》</w:t>
      </w:r>
    </w:p>
    <w:p w14:paraId="53E6A178">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十、《部门整体支出绩效目标表》</w:t>
      </w:r>
    </w:p>
    <w:p w14:paraId="7A663E90">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十一、《项目绩效目标表》</w:t>
      </w:r>
    </w:p>
    <w:p w14:paraId="520F2252">
      <w:pPr>
        <w:pStyle w:val="5"/>
        <w:widowControl/>
        <w:shd w:val="clear" w:color="auto" w:fill="FFFFFF"/>
        <w:spacing w:before="0" w:beforeAutospacing="0" w:after="0" w:afterAutospacing="0" w:line="480" w:lineRule="atLeast"/>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第三部分德安县红十字会202</w:t>
      </w:r>
      <w:r>
        <w:rPr>
          <w:rFonts w:hint="eastAsia" w:ascii="仿宋" w:hAnsi="仿宋" w:eastAsia="仿宋" w:cs="仿宋"/>
          <w:b/>
          <w:bCs/>
          <w:color w:val="434343"/>
          <w:sz w:val="32"/>
          <w:szCs w:val="32"/>
          <w:shd w:val="clear" w:color="auto" w:fill="FFFFFF"/>
          <w:lang w:val="en-US" w:eastAsia="zh-CN"/>
        </w:rPr>
        <w:t>5</w:t>
      </w:r>
      <w:r>
        <w:rPr>
          <w:rFonts w:hint="eastAsia" w:ascii="仿宋" w:hAnsi="仿宋" w:eastAsia="仿宋" w:cs="仿宋"/>
          <w:b/>
          <w:bCs/>
          <w:color w:val="434343"/>
          <w:sz w:val="32"/>
          <w:szCs w:val="32"/>
          <w:shd w:val="clear" w:color="auto" w:fill="FFFFFF"/>
        </w:rPr>
        <w:t>年部门预算情况说明</w:t>
      </w:r>
    </w:p>
    <w:p w14:paraId="47796C66">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一、202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年部门预算收支情况说明</w:t>
      </w:r>
    </w:p>
    <w:p w14:paraId="6EE5FF04">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二、202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年“三公”经费预算情况说明</w:t>
      </w:r>
    </w:p>
    <w:p w14:paraId="31A43F90">
      <w:pPr>
        <w:pStyle w:val="5"/>
        <w:widowControl/>
        <w:shd w:val="clear" w:color="auto" w:fill="FFFFFF"/>
        <w:spacing w:before="0" w:beforeAutospacing="0" w:after="0" w:afterAutospacing="0" w:line="480" w:lineRule="atLeast"/>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第四部分 名词解释</w:t>
      </w:r>
    </w:p>
    <w:p w14:paraId="296A770E">
      <w:pPr>
        <w:pStyle w:val="5"/>
        <w:widowControl/>
        <w:shd w:val="clear" w:color="auto" w:fill="FFFFFF"/>
        <w:spacing w:before="0" w:beforeAutospacing="0" w:after="0" w:afterAutospacing="0" w:line="480" w:lineRule="atLeast"/>
        <w:jc w:val="center"/>
        <w:rPr>
          <w:rFonts w:hint="eastAsia" w:ascii="仿宋" w:hAnsi="仿宋" w:eastAsia="仿宋" w:cs="仿宋"/>
          <w:color w:val="434343"/>
          <w:sz w:val="32"/>
          <w:szCs w:val="32"/>
        </w:rPr>
      </w:pPr>
      <w:r>
        <w:rPr>
          <w:rFonts w:hint="eastAsia" w:ascii="宋体" w:hAnsi="宋体" w:cs="宋体"/>
          <w:color w:val="434343"/>
          <w:shd w:val="clear" w:color="auto" w:fill="FFFFFF"/>
        </w:rPr>
        <w:br w:type="textWrapping"/>
      </w:r>
      <w:r>
        <w:rPr>
          <w:rFonts w:hint="eastAsia" w:ascii="仿宋" w:hAnsi="仿宋" w:eastAsia="仿宋" w:cs="仿宋"/>
          <w:color w:val="434343"/>
          <w:sz w:val="32"/>
          <w:szCs w:val="32"/>
          <w:shd w:val="clear" w:color="auto" w:fill="FFFFFF"/>
        </w:rPr>
        <w:t>第一部分德安县红十字会概况</w:t>
      </w:r>
    </w:p>
    <w:p w14:paraId="2965207C">
      <w:pPr>
        <w:pStyle w:val="5"/>
        <w:widowControl/>
        <w:numPr>
          <w:ilvl w:val="0"/>
          <w:numId w:val="1"/>
        </w:numPr>
        <w:shd w:val="clear" w:color="auto" w:fill="FFFFFF"/>
        <w:spacing w:before="0" w:beforeAutospacing="0" w:after="0" w:afterAutospacing="0" w:line="480" w:lineRule="atLeast"/>
        <w:rPr>
          <w:rFonts w:hint="eastAsia" w:ascii="仿宋" w:hAnsi="仿宋" w:eastAsia="仿宋" w:cs="仿宋"/>
          <w:b/>
          <w:bCs/>
          <w:color w:val="434343"/>
          <w:sz w:val="32"/>
          <w:szCs w:val="32"/>
          <w:shd w:val="clear" w:color="auto" w:fill="FFFFFF"/>
        </w:rPr>
      </w:pPr>
      <w:r>
        <w:rPr>
          <w:rFonts w:hint="eastAsia" w:ascii="仿宋" w:hAnsi="仿宋" w:eastAsia="仿宋" w:cs="仿宋"/>
          <w:b/>
          <w:bCs/>
          <w:color w:val="434343"/>
          <w:sz w:val="32"/>
          <w:szCs w:val="32"/>
          <w:shd w:val="clear" w:color="auto" w:fill="FFFFFF"/>
        </w:rPr>
        <w:t>部门主要职责</w:t>
      </w:r>
    </w:p>
    <w:p w14:paraId="108F1799">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1.开展救援、救灾的相关工作，建立红十字应急救援制度。在战争、武装冲突和自然灾害、事故灾难、公共卫生事件等突发事件中，对伤病人员和其他受害者提供紧急救援和人道救助；</w:t>
      </w:r>
    </w:p>
    <w:p w14:paraId="27CCA917">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2.开展应急救护培训，普及应急救护、防灾避险和卫生健康知识，组织志愿者参与现场救护；</w:t>
      </w:r>
    </w:p>
    <w:p w14:paraId="033665E7">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3.参与、推动无偿献血、遗体和人体器官捐献工作，参与开展造血干细胞捐献的相关工作；</w:t>
      </w:r>
    </w:p>
    <w:p w14:paraId="1A6B2D9E">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4.组织开展红十字志愿服务活动，开展有益于青少年身心健康的红十字青少年活动；</w:t>
      </w:r>
    </w:p>
    <w:p w14:paraId="19151A8C">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5.宣传国际红十字和红新月运动的基本原则和日内瓦公约及其附加议定书，并依照有关规定开展工作；</w:t>
      </w:r>
    </w:p>
    <w:p w14:paraId="2A18F5D9">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6.在上级红十字会指导下，积极参与国际人道主义救援工作；</w:t>
      </w:r>
    </w:p>
    <w:p w14:paraId="09A5BBFE">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7.协助县政府开展与其职责相关的其他人道主义服务活动。</w:t>
      </w:r>
    </w:p>
    <w:p w14:paraId="72D9B16C">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8.依照国际红十字和红新月运动的基层，完成县政府委托事宜。</w:t>
      </w:r>
    </w:p>
    <w:p w14:paraId="4DA53388">
      <w:pPr>
        <w:pStyle w:val="5"/>
        <w:widowControl/>
        <w:shd w:val="clear" w:color="auto" w:fill="FFFFFF"/>
        <w:spacing w:before="0" w:beforeAutospacing="0" w:after="0" w:afterAutospacing="0" w:line="480" w:lineRule="atLeast"/>
        <w:ind w:firstLine="851" w:firstLineChars="266"/>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9.有关职责调整。承担中国造血干细胞捐献者资料库江西省分库九江市工作站宣传动员、血样采集、资料录入及供者服务等工作。</w:t>
      </w:r>
    </w:p>
    <w:p w14:paraId="26716292">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二、机构设置及人员情况</w:t>
      </w:r>
    </w:p>
    <w:p w14:paraId="442548D8">
      <w:pPr>
        <w:pStyle w:val="5"/>
        <w:widowControl/>
        <w:shd w:val="clear" w:color="auto" w:fill="FFFFFF"/>
        <w:spacing w:before="0" w:beforeAutospacing="0" w:after="0" w:afterAutospacing="0" w:line="480" w:lineRule="atLeast"/>
        <w:ind w:firstLine="480"/>
        <w:rPr>
          <w:rFonts w:hint="eastAsia" w:ascii="仿宋" w:hAnsi="仿宋" w:eastAsia="仿宋" w:cs="仿宋"/>
          <w:color w:val="444444"/>
          <w:sz w:val="32"/>
          <w:szCs w:val="32"/>
          <w:shd w:val="clear" w:color="auto" w:fill="FFFFFF"/>
        </w:rPr>
      </w:pPr>
      <w:r>
        <w:rPr>
          <w:rFonts w:hint="eastAsia" w:ascii="仿宋" w:hAnsi="仿宋" w:eastAsia="仿宋" w:cs="仿宋"/>
          <w:color w:val="434343"/>
          <w:sz w:val="32"/>
          <w:szCs w:val="32"/>
          <w:shd w:val="clear" w:color="auto" w:fill="FFFFFF"/>
        </w:rPr>
        <w:t>德安县红十字会共有预算单位1</w:t>
      </w:r>
      <w:r>
        <w:rPr>
          <w:rFonts w:hint="eastAsia" w:ascii="仿宋" w:hAnsi="仿宋" w:eastAsia="仿宋" w:cs="仿宋"/>
          <w:color w:val="444444"/>
          <w:sz w:val="32"/>
          <w:szCs w:val="32"/>
          <w:shd w:val="clear" w:color="auto" w:fill="FFFFFF"/>
        </w:rPr>
        <w:t>个。内设股室1个，包括综合股。</w:t>
      </w:r>
    </w:p>
    <w:p w14:paraId="496D5CFE">
      <w:pPr>
        <w:pStyle w:val="5"/>
        <w:widowControl/>
        <w:shd w:val="clear" w:color="auto" w:fill="FFFFFF"/>
        <w:spacing w:before="0" w:beforeAutospacing="0" w:after="0" w:afterAutospacing="0" w:line="480" w:lineRule="atLeast"/>
        <w:ind w:firstLine="480"/>
        <w:rPr>
          <w:rFonts w:hint="eastAsia" w:ascii="仿宋" w:hAnsi="仿宋" w:eastAsia="仿宋" w:cs="仿宋"/>
          <w:color w:val="434343"/>
          <w:sz w:val="32"/>
          <w:szCs w:val="32"/>
          <w:shd w:val="clear" w:color="auto" w:fill="FFFFFF"/>
        </w:rPr>
      </w:pPr>
      <w:r>
        <w:rPr>
          <w:rFonts w:hint="eastAsia" w:ascii="仿宋" w:hAnsi="仿宋" w:eastAsia="仿宋" w:cs="仿宋"/>
          <w:color w:val="444444"/>
          <w:sz w:val="32"/>
          <w:szCs w:val="32"/>
          <w:shd w:val="clear" w:color="auto" w:fill="FFFFFF"/>
        </w:rPr>
        <w:t>编制人数小计7</w:t>
      </w:r>
      <w:r>
        <w:rPr>
          <w:rFonts w:hint="eastAsia" w:ascii="仿宋" w:hAnsi="仿宋" w:eastAsia="仿宋" w:cs="仿宋"/>
          <w:color w:val="434343"/>
          <w:sz w:val="32"/>
          <w:szCs w:val="32"/>
          <w:shd w:val="clear" w:color="auto" w:fill="FFFFFF"/>
        </w:rPr>
        <w:t>人，其中：全部补助事业编制</w:t>
      </w:r>
      <w:r>
        <w:rPr>
          <w:rFonts w:hint="eastAsia" w:ascii="仿宋" w:hAnsi="仿宋" w:eastAsia="仿宋" w:cs="仿宋"/>
          <w:color w:val="444444"/>
          <w:sz w:val="32"/>
          <w:szCs w:val="32"/>
          <w:shd w:val="clear" w:color="auto" w:fill="FFFFFF"/>
        </w:rPr>
        <w:t>7</w:t>
      </w:r>
      <w:r>
        <w:rPr>
          <w:rFonts w:hint="eastAsia" w:ascii="仿宋" w:hAnsi="仿宋" w:eastAsia="仿宋" w:cs="仿宋"/>
          <w:color w:val="434343"/>
          <w:sz w:val="32"/>
          <w:szCs w:val="32"/>
          <w:shd w:val="clear" w:color="auto" w:fill="FFFFFF"/>
        </w:rPr>
        <w:t>人；实有人数</w:t>
      </w:r>
      <w:r>
        <w:rPr>
          <w:rFonts w:hint="eastAsia" w:ascii="仿宋" w:hAnsi="仿宋" w:eastAsia="仿宋" w:cs="仿宋"/>
          <w:color w:val="434343"/>
          <w:sz w:val="32"/>
          <w:szCs w:val="32"/>
          <w:shd w:val="clear" w:color="auto" w:fill="FFFFFF"/>
          <w:lang w:val="en-US" w:eastAsia="zh-CN"/>
        </w:rPr>
        <w:t>6</w:t>
      </w:r>
      <w:r>
        <w:rPr>
          <w:rFonts w:hint="eastAsia" w:ascii="仿宋" w:hAnsi="仿宋" w:eastAsia="仿宋" w:cs="仿宋"/>
          <w:color w:val="434343"/>
          <w:sz w:val="32"/>
          <w:szCs w:val="32"/>
          <w:shd w:val="clear" w:color="auto" w:fill="FFFFFF"/>
        </w:rPr>
        <w:t>人，其中：在职人数</w:t>
      </w:r>
      <w:r>
        <w:rPr>
          <w:rFonts w:hint="eastAsia" w:ascii="仿宋" w:hAnsi="仿宋" w:eastAsia="仿宋" w:cs="仿宋"/>
          <w:color w:val="444444"/>
          <w:sz w:val="32"/>
          <w:szCs w:val="32"/>
          <w:shd w:val="clear" w:color="auto" w:fill="FFFFFF"/>
          <w:lang w:val="en-US" w:eastAsia="zh-CN"/>
        </w:rPr>
        <w:t>6</w:t>
      </w:r>
      <w:r>
        <w:rPr>
          <w:rFonts w:hint="eastAsia" w:ascii="仿宋" w:hAnsi="仿宋" w:eastAsia="仿宋" w:cs="仿宋"/>
          <w:color w:val="434343"/>
          <w:sz w:val="32"/>
          <w:szCs w:val="32"/>
          <w:shd w:val="clear" w:color="auto" w:fill="FFFFFF"/>
        </w:rPr>
        <w:t>人，全部补助事业人员</w:t>
      </w:r>
      <w:r>
        <w:rPr>
          <w:rFonts w:hint="eastAsia" w:ascii="仿宋" w:hAnsi="仿宋" w:eastAsia="仿宋" w:cs="仿宋"/>
          <w:color w:val="444444"/>
          <w:sz w:val="32"/>
          <w:szCs w:val="32"/>
          <w:shd w:val="clear" w:color="auto" w:fill="FFFFFF"/>
          <w:lang w:val="en-US" w:eastAsia="zh-CN"/>
        </w:rPr>
        <w:t>6</w:t>
      </w:r>
      <w:r>
        <w:rPr>
          <w:rFonts w:hint="eastAsia" w:ascii="仿宋" w:hAnsi="仿宋" w:eastAsia="仿宋" w:cs="仿宋"/>
          <w:color w:val="434343"/>
          <w:sz w:val="32"/>
          <w:szCs w:val="32"/>
          <w:shd w:val="clear" w:color="auto" w:fill="FFFFFF"/>
        </w:rPr>
        <w:t>人，</w:t>
      </w:r>
      <w:r>
        <w:rPr>
          <w:rFonts w:hint="eastAsia" w:ascii="仿宋" w:hAnsi="仿宋" w:eastAsia="仿宋" w:cs="仿宋"/>
          <w:color w:val="444444"/>
          <w:sz w:val="32"/>
          <w:szCs w:val="32"/>
          <w:shd w:val="clear" w:color="auto" w:fill="FFFFFF"/>
        </w:rPr>
        <w:t>退休人员0人，</w:t>
      </w:r>
      <w:r>
        <w:rPr>
          <w:rFonts w:hint="eastAsia" w:ascii="仿宋" w:hAnsi="仿宋" w:eastAsia="仿宋" w:cs="仿宋"/>
          <w:color w:val="434343"/>
          <w:sz w:val="32"/>
          <w:szCs w:val="32"/>
          <w:shd w:val="clear" w:color="auto" w:fill="FFFFFF"/>
        </w:rPr>
        <w:t>遗属人数0人。</w:t>
      </w:r>
    </w:p>
    <w:p w14:paraId="2D4C5D70">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7689EC8A">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4F39E40A">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78630C25">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55246654">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5DFAC50D">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681AB2B5">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4C229110">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1C1650F0">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77786CE3">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13B4D2B9">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6E892144">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395A7AB3">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1FADE7D6">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p>
    <w:p w14:paraId="3324A46D">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r>
        <w:rPr>
          <w:rFonts w:hint="eastAsia" w:ascii="仿宋" w:hAnsi="仿宋" w:eastAsia="仿宋" w:cs="仿宋"/>
          <w:b/>
          <w:bCs/>
          <w:color w:val="434343"/>
          <w:sz w:val="32"/>
          <w:szCs w:val="32"/>
          <w:shd w:val="clear" w:color="auto" w:fill="FFFFFF"/>
        </w:rPr>
        <w:t>第二部分德安县红十字会202</w:t>
      </w:r>
      <w:r>
        <w:rPr>
          <w:rFonts w:hint="eastAsia" w:ascii="仿宋" w:hAnsi="仿宋" w:eastAsia="仿宋" w:cs="仿宋"/>
          <w:b/>
          <w:bCs/>
          <w:color w:val="434343"/>
          <w:sz w:val="32"/>
          <w:szCs w:val="32"/>
          <w:shd w:val="clear" w:color="auto" w:fill="FFFFFF"/>
          <w:lang w:val="en-US" w:eastAsia="zh-CN"/>
        </w:rPr>
        <w:t>5</w:t>
      </w:r>
      <w:r>
        <w:rPr>
          <w:rFonts w:hint="eastAsia" w:ascii="仿宋" w:hAnsi="仿宋" w:eastAsia="仿宋" w:cs="仿宋"/>
          <w:b/>
          <w:bCs/>
          <w:color w:val="434343"/>
          <w:sz w:val="32"/>
          <w:szCs w:val="32"/>
          <w:shd w:val="clear" w:color="auto" w:fill="FFFFFF"/>
        </w:rPr>
        <w:t>年部门预算表</w:t>
      </w:r>
    </w:p>
    <w:p w14:paraId="3AA39FA3">
      <w:pPr>
        <w:pStyle w:val="5"/>
        <w:widowControl/>
        <w:shd w:val="clear" w:color="auto" w:fill="FFFFFF"/>
        <w:spacing w:before="0" w:beforeAutospacing="0" w:after="0" w:afterAutospacing="0" w:line="480" w:lineRule="atLeast"/>
        <w:ind w:firstLine="315"/>
        <w:jc w:val="center"/>
        <w:rPr>
          <w:rFonts w:hint="eastAsia" w:ascii="仿宋" w:hAnsi="仿宋" w:eastAsia="仿宋" w:cs="仿宋"/>
          <w:b/>
          <w:bCs/>
          <w:color w:val="434343"/>
          <w:sz w:val="32"/>
          <w:szCs w:val="32"/>
          <w:shd w:val="clear" w:color="auto" w:fill="FFFFFF"/>
        </w:rPr>
      </w:pPr>
      <w:r>
        <w:rPr>
          <w:rFonts w:hint="eastAsia" w:ascii="仿宋" w:hAnsi="仿宋" w:eastAsia="仿宋" w:cs="仿宋"/>
          <w:b/>
          <w:bCs/>
          <w:color w:val="434343"/>
          <w:sz w:val="32"/>
          <w:szCs w:val="32"/>
          <w:shd w:val="clear" w:color="auto" w:fill="FFFFFF"/>
        </w:rPr>
        <w:t>（见附表）</w:t>
      </w:r>
    </w:p>
    <w:p w14:paraId="1A07D5CE">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一、《收支预算总表》</w:t>
      </w:r>
    </w:p>
    <w:p w14:paraId="383397AB">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二、《部门收入总表》</w:t>
      </w:r>
    </w:p>
    <w:p w14:paraId="377BD53C">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三、《部门支出总表》</w:t>
      </w:r>
    </w:p>
    <w:p w14:paraId="0C10132C">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四、《财政拨款收支总表》</w:t>
      </w:r>
    </w:p>
    <w:p w14:paraId="100B53C5">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五、《一般公共预算支出表》</w:t>
      </w:r>
    </w:p>
    <w:p w14:paraId="6BDD159D">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六、《一般公共预算基本支出表》</w:t>
      </w:r>
    </w:p>
    <w:p w14:paraId="37C09DAC">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七、《一般公共预算“三公”经费支出表》</w:t>
      </w:r>
    </w:p>
    <w:p w14:paraId="2333D7E8">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八、《政府性基金预算支出表》</w:t>
      </w:r>
    </w:p>
    <w:p w14:paraId="4DE1E114">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九、《国有资本经营预算支出表》</w:t>
      </w:r>
    </w:p>
    <w:p w14:paraId="34F288E2">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十、《部门整体支出绩效目标表》</w:t>
      </w:r>
    </w:p>
    <w:p w14:paraId="6ECC7FDA">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十一、《项目绩效目标表》</w:t>
      </w:r>
    </w:p>
    <w:p w14:paraId="1C7F9158">
      <w:pPr>
        <w:pStyle w:val="5"/>
        <w:widowControl/>
        <w:shd w:val="clear" w:color="auto" w:fill="FFFFFF"/>
        <w:spacing w:before="0" w:beforeAutospacing="0" w:after="0" w:afterAutospacing="0" w:line="480" w:lineRule="atLeast"/>
        <w:rPr>
          <w:rFonts w:hint="eastAsia" w:ascii="宋体" w:hAnsi="宋体" w:cs="宋体"/>
          <w:color w:val="434343"/>
          <w:shd w:val="clear" w:color="auto" w:fill="FFFFFF"/>
        </w:rPr>
      </w:pPr>
    </w:p>
    <w:p w14:paraId="7A3D3BF7">
      <w:pPr>
        <w:pStyle w:val="5"/>
        <w:widowControl/>
        <w:shd w:val="clear" w:color="auto" w:fill="FFFFFF"/>
        <w:spacing w:before="0" w:beforeAutospacing="0" w:after="0" w:afterAutospacing="0" w:line="480" w:lineRule="atLeast"/>
        <w:rPr>
          <w:rFonts w:hint="eastAsia" w:ascii="宋体" w:hAnsi="宋体" w:cs="宋体"/>
          <w:color w:val="434343"/>
          <w:shd w:val="clear" w:color="auto" w:fill="FFFFFF"/>
        </w:rPr>
      </w:pPr>
    </w:p>
    <w:p w14:paraId="0E8C5AE8">
      <w:pPr>
        <w:pStyle w:val="5"/>
        <w:widowControl/>
        <w:shd w:val="clear" w:color="auto" w:fill="FFFFFF"/>
        <w:spacing w:before="0" w:beforeAutospacing="0" w:after="0" w:afterAutospacing="0" w:line="480" w:lineRule="atLeast"/>
        <w:rPr>
          <w:rFonts w:hint="eastAsia" w:ascii="宋体" w:hAnsi="宋体" w:cs="宋体"/>
          <w:color w:val="434343"/>
          <w:shd w:val="clear" w:color="auto" w:fill="FFFFFF"/>
        </w:rPr>
      </w:pPr>
    </w:p>
    <w:p w14:paraId="2C8A308C">
      <w:pPr>
        <w:pStyle w:val="5"/>
        <w:widowControl/>
        <w:shd w:val="clear" w:color="auto" w:fill="FFFFFF"/>
        <w:spacing w:before="0" w:beforeAutospacing="0" w:after="0" w:afterAutospacing="0" w:line="480" w:lineRule="atLeast"/>
        <w:jc w:val="both"/>
        <w:rPr>
          <w:rFonts w:hint="eastAsia" w:ascii="宋体" w:hAnsi="宋体" w:cs="宋体"/>
          <w:color w:val="434343"/>
          <w:shd w:val="clear" w:color="auto" w:fill="FFFFFF"/>
        </w:rPr>
      </w:pPr>
      <w:r>
        <w:drawing>
          <wp:inline distT="0" distB="0" distL="114300" distR="114300">
            <wp:extent cx="5807710" cy="5532755"/>
            <wp:effectExtent l="0" t="0" r="2540" b="1079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4"/>
                    <a:stretch>
                      <a:fillRect/>
                    </a:stretch>
                  </pic:blipFill>
                  <pic:spPr>
                    <a:xfrm>
                      <a:off x="0" y="0"/>
                      <a:ext cx="5807710" cy="5532755"/>
                    </a:xfrm>
                    <a:prstGeom prst="rect">
                      <a:avLst/>
                    </a:prstGeom>
                    <a:noFill/>
                    <a:ln>
                      <a:noFill/>
                    </a:ln>
                  </pic:spPr>
                </pic:pic>
              </a:graphicData>
            </a:graphic>
          </wp:inline>
        </w:drawing>
      </w:r>
    </w:p>
    <w:p w14:paraId="4E32DE37">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7DE1232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21577CE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07A9AC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723A0006">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4B5D62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E9CD290">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6176645" cy="4159885"/>
            <wp:effectExtent l="0" t="0" r="14605" b="1206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5"/>
                    <a:stretch>
                      <a:fillRect/>
                    </a:stretch>
                  </pic:blipFill>
                  <pic:spPr>
                    <a:xfrm>
                      <a:off x="0" y="0"/>
                      <a:ext cx="6176645" cy="4159885"/>
                    </a:xfrm>
                    <a:prstGeom prst="rect">
                      <a:avLst/>
                    </a:prstGeom>
                    <a:noFill/>
                    <a:ln>
                      <a:noFill/>
                    </a:ln>
                  </pic:spPr>
                </pic:pic>
              </a:graphicData>
            </a:graphic>
          </wp:inline>
        </w:drawing>
      </w:r>
    </w:p>
    <w:p w14:paraId="2E91E7F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68FAEB63">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226483F5">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DE914C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C6B2508">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504E904">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3296D1F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674741E6">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56A54D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67922A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7E64322A">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AFC5167">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124576E3">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664835" cy="5363845"/>
            <wp:effectExtent l="0" t="0" r="12065" b="825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6"/>
                    <a:stretch>
                      <a:fillRect/>
                    </a:stretch>
                  </pic:blipFill>
                  <pic:spPr>
                    <a:xfrm>
                      <a:off x="0" y="0"/>
                      <a:ext cx="5664835" cy="5363845"/>
                    </a:xfrm>
                    <a:prstGeom prst="rect">
                      <a:avLst/>
                    </a:prstGeom>
                    <a:noFill/>
                    <a:ln>
                      <a:noFill/>
                    </a:ln>
                  </pic:spPr>
                </pic:pic>
              </a:graphicData>
            </a:graphic>
          </wp:inline>
        </w:drawing>
      </w:r>
    </w:p>
    <w:p w14:paraId="45CB7E00">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A44E74A">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1C001A1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8C6C4C8">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862955" cy="4397375"/>
            <wp:effectExtent l="0" t="0" r="4445" b="3175"/>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7"/>
                    <a:stretch>
                      <a:fillRect/>
                    </a:stretch>
                  </pic:blipFill>
                  <pic:spPr>
                    <a:xfrm>
                      <a:off x="0" y="0"/>
                      <a:ext cx="5862955" cy="4397375"/>
                    </a:xfrm>
                    <a:prstGeom prst="rect">
                      <a:avLst/>
                    </a:prstGeom>
                    <a:noFill/>
                    <a:ln>
                      <a:noFill/>
                    </a:ln>
                  </pic:spPr>
                </pic:pic>
              </a:graphicData>
            </a:graphic>
          </wp:inline>
        </w:drawing>
      </w:r>
    </w:p>
    <w:p w14:paraId="466A34C6">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150984D8">
      <w:pPr>
        <w:pStyle w:val="5"/>
        <w:widowControl/>
        <w:shd w:val="clear" w:color="auto" w:fill="FFFFFF"/>
        <w:spacing w:before="0" w:beforeAutospacing="0" w:after="0" w:afterAutospacing="0" w:line="480" w:lineRule="atLeast"/>
        <w:jc w:val="center"/>
      </w:pPr>
    </w:p>
    <w:p w14:paraId="5BAF5E54">
      <w:pPr>
        <w:pStyle w:val="5"/>
        <w:widowControl/>
        <w:shd w:val="clear" w:color="auto" w:fill="FFFFFF"/>
        <w:spacing w:before="0" w:beforeAutospacing="0" w:after="0" w:afterAutospacing="0" w:line="480" w:lineRule="atLeast"/>
        <w:jc w:val="center"/>
      </w:pPr>
    </w:p>
    <w:p w14:paraId="0EB9F8E4">
      <w:pPr>
        <w:pStyle w:val="5"/>
        <w:widowControl/>
        <w:shd w:val="clear" w:color="auto" w:fill="FFFFFF"/>
        <w:spacing w:before="0" w:beforeAutospacing="0" w:after="0" w:afterAutospacing="0" w:line="480" w:lineRule="atLeast"/>
        <w:jc w:val="center"/>
      </w:pPr>
    </w:p>
    <w:p w14:paraId="49D04A15">
      <w:pPr>
        <w:pStyle w:val="5"/>
        <w:widowControl/>
        <w:shd w:val="clear" w:color="auto" w:fill="FFFFFF"/>
        <w:spacing w:before="0" w:beforeAutospacing="0" w:after="0" w:afterAutospacing="0" w:line="480" w:lineRule="atLeast"/>
        <w:jc w:val="center"/>
      </w:pPr>
    </w:p>
    <w:p w14:paraId="01A8F30A">
      <w:pPr>
        <w:pStyle w:val="5"/>
        <w:widowControl/>
        <w:shd w:val="clear" w:color="auto" w:fill="FFFFFF"/>
        <w:spacing w:before="0" w:beforeAutospacing="0" w:after="0" w:afterAutospacing="0" w:line="480" w:lineRule="atLeast"/>
        <w:jc w:val="center"/>
      </w:pPr>
    </w:p>
    <w:p w14:paraId="78A900A1">
      <w:pPr>
        <w:pStyle w:val="5"/>
        <w:widowControl/>
        <w:shd w:val="clear" w:color="auto" w:fill="FFFFFF"/>
        <w:spacing w:before="0" w:beforeAutospacing="0" w:after="0" w:afterAutospacing="0" w:line="480" w:lineRule="atLeast"/>
        <w:jc w:val="center"/>
      </w:pPr>
    </w:p>
    <w:p w14:paraId="3192C2BA">
      <w:pPr>
        <w:pStyle w:val="5"/>
        <w:widowControl/>
        <w:shd w:val="clear" w:color="auto" w:fill="FFFFFF"/>
        <w:spacing w:before="0" w:beforeAutospacing="0" w:after="0" w:afterAutospacing="0" w:line="480" w:lineRule="atLeast"/>
        <w:jc w:val="center"/>
      </w:pPr>
    </w:p>
    <w:p w14:paraId="5A45A041">
      <w:pPr>
        <w:pStyle w:val="5"/>
        <w:widowControl/>
        <w:shd w:val="clear" w:color="auto" w:fill="FFFFFF"/>
        <w:spacing w:before="0" w:beforeAutospacing="0" w:after="0" w:afterAutospacing="0" w:line="480" w:lineRule="atLeast"/>
        <w:jc w:val="center"/>
        <w:rPr>
          <w:rFonts w:hint="eastAsia"/>
        </w:rPr>
      </w:pPr>
    </w:p>
    <w:p w14:paraId="0706A05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269865" cy="5234940"/>
            <wp:effectExtent l="0" t="0" r="6985" b="381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8"/>
                    <a:stretch>
                      <a:fillRect/>
                    </a:stretch>
                  </pic:blipFill>
                  <pic:spPr>
                    <a:xfrm>
                      <a:off x="0" y="0"/>
                      <a:ext cx="5269865" cy="5234940"/>
                    </a:xfrm>
                    <a:prstGeom prst="rect">
                      <a:avLst/>
                    </a:prstGeom>
                    <a:noFill/>
                    <a:ln>
                      <a:noFill/>
                    </a:ln>
                  </pic:spPr>
                </pic:pic>
              </a:graphicData>
            </a:graphic>
          </wp:inline>
        </w:drawing>
      </w:r>
    </w:p>
    <w:p w14:paraId="783C40F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4912A69">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3C7F5F3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EE484F8">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1C1266D4">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FD98F13">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37DA52F7">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109ACEE1">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33FA4664">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CAB0DB0">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60944AA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F0538DA">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74016B1B">
      <w:pPr>
        <w:pStyle w:val="5"/>
        <w:widowControl/>
        <w:shd w:val="clear" w:color="auto" w:fill="FFFFFF"/>
        <w:spacing w:before="0" w:beforeAutospacing="0" w:after="0" w:afterAutospacing="0" w:line="480" w:lineRule="atLeast"/>
        <w:jc w:val="center"/>
      </w:pPr>
      <w:r>
        <w:drawing>
          <wp:inline distT="0" distB="0" distL="114300" distR="114300">
            <wp:extent cx="5265420" cy="5650865"/>
            <wp:effectExtent l="0" t="0" r="11430" b="6985"/>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9"/>
                    <a:stretch>
                      <a:fillRect/>
                    </a:stretch>
                  </pic:blipFill>
                  <pic:spPr>
                    <a:xfrm>
                      <a:off x="0" y="0"/>
                      <a:ext cx="5265420" cy="5650865"/>
                    </a:xfrm>
                    <a:prstGeom prst="rect">
                      <a:avLst/>
                    </a:prstGeom>
                    <a:noFill/>
                    <a:ln>
                      <a:noFill/>
                    </a:ln>
                  </pic:spPr>
                </pic:pic>
              </a:graphicData>
            </a:graphic>
          </wp:inline>
        </w:drawing>
      </w:r>
    </w:p>
    <w:p w14:paraId="4217819F">
      <w:pPr>
        <w:pStyle w:val="5"/>
        <w:widowControl/>
        <w:shd w:val="clear" w:color="auto" w:fill="FFFFFF"/>
        <w:spacing w:before="0" w:beforeAutospacing="0" w:after="0" w:afterAutospacing="0" w:line="480" w:lineRule="atLeast"/>
        <w:jc w:val="center"/>
      </w:pPr>
    </w:p>
    <w:p w14:paraId="17F4675D">
      <w:pPr>
        <w:pStyle w:val="5"/>
        <w:widowControl/>
        <w:shd w:val="clear" w:color="auto" w:fill="FFFFFF"/>
        <w:spacing w:before="0" w:beforeAutospacing="0" w:after="0" w:afterAutospacing="0" w:line="480" w:lineRule="atLeast"/>
        <w:jc w:val="center"/>
      </w:pPr>
    </w:p>
    <w:p w14:paraId="4D984BB8">
      <w:pPr>
        <w:pStyle w:val="5"/>
        <w:widowControl/>
        <w:shd w:val="clear" w:color="auto" w:fill="FFFFFF"/>
        <w:spacing w:before="0" w:beforeAutospacing="0" w:after="0" w:afterAutospacing="0" w:line="480" w:lineRule="atLeast"/>
        <w:jc w:val="center"/>
      </w:pPr>
    </w:p>
    <w:p w14:paraId="3E9002D2">
      <w:pPr>
        <w:pStyle w:val="5"/>
        <w:widowControl/>
        <w:shd w:val="clear" w:color="auto" w:fill="FFFFFF"/>
        <w:spacing w:before="0" w:beforeAutospacing="0" w:after="0" w:afterAutospacing="0" w:line="480" w:lineRule="atLeast"/>
        <w:jc w:val="center"/>
        <w:rPr>
          <w:rFonts w:hint="eastAsia"/>
        </w:rPr>
      </w:pPr>
    </w:p>
    <w:p w14:paraId="56CFDDE8">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A0CA668">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8CF2A4F">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3DF9DF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6D7D484B">
      <w:pPr>
        <w:pStyle w:val="5"/>
        <w:widowControl/>
        <w:shd w:val="clear" w:color="auto" w:fill="FFFFFF"/>
        <w:spacing w:before="0" w:beforeAutospacing="0" w:after="0" w:afterAutospacing="0" w:line="480" w:lineRule="atLeast"/>
        <w:jc w:val="center"/>
      </w:pPr>
      <w:r>
        <w:drawing>
          <wp:inline distT="0" distB="0" distL="114300" distR="114300">
            <wp:extent cx="5269230" cy="1025525"/>
            <wp:effectExtent l="0" t="0" r="7620" b="317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0"/>
                    <a:stretch>
                      <a:fillRect/>
                    </a:stretch>
                  </pic:blipFill>
                  <pic:spPr>
                    <a:xfrm>
                      <a:off x="0" y="0"/>
                      <a:ext cx="5269230" cy="1025525"/>
                    </a:xfrm>
                    <a:prstGeom prst="rect">
                      <a:avLst/>
                    </a:prstGeom>
                    <a:noFill/>
                    <a:ln>
                      <a:noFill/>
                    </a:ln>
                  </pic:spPr>
                </pic:pic>
              </a:graphicData>
            </a:graphic>
          </wp:inline>
        </w:drawing>
      </w:r>
    </w:p>
    <w:p w14:paraId="504F717C">
      <w:pPr>
        <w:pStyle w:val="5"/>
        <w:widowControl/>
        <w:shd w:val="clear" w:color="auto" w:fill="FFFFFF"/>
        <w:spacing w:before="0" w:beforeAutospacing="0" w:after="0" w:afterAutospacing="0" w:line="480" w:lineRule="atLeast"/>
        <w:jc w:val="center"/>
      </w:pPr>
    </w:p>
    <w:p w14:paraId="5D9D335F">
      <w:pPr>
        <w:pStyle w:val="5"/>
        <w:widowControl/>
        <w:shd w:val="clear" w:color="auto" w:fill="FFFFFF"/>
        <w:spacing w:before="0" w:beforeAutospacing="0" w:after="0" w:afterAutospacing="0" w:line="480" w:lineRule="atLeast"/>
        <w:jc w:val="center"/>
      </w:pPr>
    </w:p>
    <w:p w14:paraId="074AA04B">
      <w:pPr>
        <w:pStyle w:val="5"/>
        <w:widowControl/>
        <w:shd w:val="clear" w:color="auto" w:fill="FFFFFF"/>
        <w:spacing w:before="0" w:beforeAutospacing="0" w:after="0" w:afterAutospacing="0" w:line="480" w:lineRule="atLeast"/>
        <w:jc w:val="center"/>
      </w:pPr>
      <w:r>
        <w:drawing>
          <wp:inline distT="0" distB="0" distL="114300" distR="114300">
            <wp:extent cx="5265420" cy="1076960"/>
            <wp:effectExtent l="0" t="0" r="11430" b="889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11"/>
                    <a:stretch>
                      <a:fillRect/>
                    </a:stretch>
                  </pic:blipFill>
                  <pic:spPr>
                    <a:xfrm>
                      <a:off x="0" y="0"/>
                      <a:ext cx="5265420" cy="1076960"/>
                    </a:xfrm>
                    <a:prstGeom prst="rect">
                      <a:avLst/>
                    </a:prstGeom>
                    <a:noFill/>
                    <a:ln>
                      <a:noFill/>
                    </a:ln>
                  </pic:spPr>
                </pic:pic>
              </a:graphicData>
            </a:graphic>
          </wp:inline>
        </w:drawing>
      </w:r>
    </w:p>
    <w:p w14:paraId="792669A3">
      <w:pPr>
        <w:pStyle w:val="5"/>
        <w:widowControl/>
        <w:shd w:val="clear" w:color="auto" w:fill="FFFFFF"/>
        <w:spacing w:before="0" w:beforeAutospacing="0" w:after="0" w:afterAutospacing="0" w:line="480" w:lineRule="atLeast"/>
        <w:jc w:val="center"/>
        <w:rPr>
          <w:rFonts w:hint="eastAsia"/>
        </w:rPr>
      </w:pPr>
    </w:p>
    <w:p w14:paraId="30C7A9C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2D55EA4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C016A20">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5C0FDA62">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267325" cy="991870"/>
            <wp:effectExtent l="0" t="0" r="9525" b="1778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2"/>
                    <a:stretch>
                      <a:fillRect/>
                    </a:stretch>
                  </pic:blipFill>
                  <pic:spPr>
                    <a:xfrm>
                      <a:off x="0" y="0"/>
                      <a:ext cx="5267325" cy="991870"/>
                    </a:xfrm>
                    <a:prstGeom prst="rect">
                      <a:avLst/>
                    </a:prstGeom>
                    <a:noFill/>
                    <a:ln>
                      <a:noFill/>
                    </a:ln>
                  </pic:spPr>
                </pic:pic>
              </a:graphicData>
            </a:graphic>
          </wp:inline>
        </w:drawing>
      </w:r>
    </w:p>
    <w:p w14:paraId="5954B769">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46E04CEC">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F7DBC32">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31009B53">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268595" cy="8506460"/>
            <wp:effectExtent l="0" t="0" r="8255" b="8890"/>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13"/>
                    <a:stretch>
                      <a:fillRect/>
                    </a:stretch>
                  </pic:blipFill>
                  <pic:spPr>
                    <a:xfrm>
                      <a:off x="0" y="0"/>
                      <a:ext cx="5268595" cy="8506460"/>
                    </a:xfrm>
                    <a:prstGeom prst="rect">
                      <a:avLst/>
                    </a:prstGeom>
                    <a:noFill/>
                    <a:ln>
                      <a:noFill/>
                    </a:ln>
                  </pic:spPr>
                </pic:pic>
              </a:graphicData>
            </a:graphic>
          </wp:inline>
        </w:drawing>
      </w:r>
    </w:p>
    <w:p w14:paraId="7861B2B9">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7646AD66">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r>
        <w:drawing>
          <wp:inline distT="0" distB="0" distL="114300" distR="114300">
            <wp:extent cx="5274310" cy="7472045"/>
            <wp:effectExtent l="0" t="0" r="2540" b="14605"/>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14"/>
                    <a:stretch>
                      <a:fillRect/>
                    </a:stretch>
                  </pic:blipFill>
                  <pic:spPr>
                    <a:xfrm>
                      <a:off x="0" y="0"/>
                      <a:ext cx="5274310" cy="7472045"/>
                    </a:xfrm>
                    <a:prstGeom prst="rect">
                      <a:avLst/>
                    </a:prstGeom>
                    <a:noFill/>
                    <a:ln>
                      <a:noFill/>
                    </a:ln>
                  </pic:spPr>
                </pic:pic>
              </a:graphicData>
            </a:graphic>
          </wp:inline>
        </w:drawing>
      </w:r>
    </w:p>
    <w:p w14:paraId="2C5D750D">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24C3715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642D4E29">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273B9EFE">
      <w:pPr>
        <w:pStyle w:val="5"/>
        <w:widowControl/>
        <w:shd w:val="clear" w:color="auto" w:fill="FFFFFF"/>
        <w:spacing w:before="0" w:beforeAutospacing="0" w:after="0" w:afterAutospacing="0" w:line="480" w:lineRule="atLeast"/>
        <w:jc w:val="center"/>
        <w:rPr>
          <w:rFonts w:hint="eastAsia" w:ascii="宋体" w:hAnsi="宋体" w:cs="宋体"/>
          <w:b/>
          <w:bCs/>
          <w:color w:val="434343"/>
          <w:shd w:val="clear" w:color="auto" w:fill="FFFFFF"/>
        </w:rPr>
      </w:pPr>
    </w:p>
    <w:p w14:paraId="01E6EE69">
      <w:pPr>
        <w:pStyle w:val="5"/>
        <w:widowControl/>
        <w:shd w:val="clear" w:color="auto" w:fill="FFFFFF"/>
        <w:spacing w:before="0" w:beforeAutospacing="0" w:after="0" w:afterAutospacing="0" w:line="480" w:lineRule="atLeast"/>
        <w:jc w:val="center"/>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第三部分德安县红十字会202</w:t>
      </w:r>
      <w:r>
        <w:rPr>
          <w:rFonts w:hint="eastAsia" w:ascii="仿宋" w:hAnsi="仿宋" w:eastAsia="仿宋" w:cs="仿宋"/>
          <w:b/>
          <w:bCs/>
          <w:color w:val="434343"/>
          <w:sz w:val="32"/>
          <w:szCs w:val="32"/>
          <w:shd w:val="clear" w:color="auto" w:fill="FFFFFF"/>
          <w:lang w:val="en-US" w:eastAsia="zh-CN"/>
        </w:rPr>
        <w:t>5</w:t>
      </w:r>
      <w:r>
        <w:rPr>
          <w:rFonts w:hint="eastAsia" w:ascii="仿宋" w:hAnsi="仿宋" w:eastAsia="仿宋" w:cs="仿宋"/>
          <w:b/>
          <w:bCs/>
          <w:color w:val="434343"/>
          <w:sz w:val="32"/>
          <w:szCs w:val="32"/>
          <w:shd w:val="clear" w:color="auto" w:fill="FFFFFF"/>
        </w:rPr>
        <w:t>年部门预算情况说明</w:t>
      </w:r>
    </w:p>
    <w:p w14:paraId="1003C98D">
      <w:pPr>
        <w:pStyle w:val="5"/>
        <w:widowControl/>
        <w:shd w:val="clear" w:color="auto" w:fill="FFFFFF"/>
        <w:spacing w:before="0" w:beforeAutospacing="0" w:after="0" w:afterAutospacing="0" w:line="480" w:lineRule="atLeast"/>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一、202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年部门预算收支情况说明</w:t>
      </w:r>
    </w:p>
    <w:p w14:paraId="5FD9C7E1">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(一)收入预算情况</w:t>
      </w:r>
    </w:p>
    <w:p w14:paraId="2346C2A2">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lang w:val="en-US" w:eastAsia="zh-CN"/>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年德安县红十字会收入预算总额为</w:t>
      </w:r>
      <w:r>
        <w:rPr>
          <w:rFonts w:hint="eastAsia" w:ascii="仿宋" w:hAnsi="仿宋" w:eastAsia="仿宋" w:cs="仿宋"/>
          <w:color w:val="434343"/>
          <w:sz w:val="32"/>
          <w:szCs w:val="32"/>
          <w:shd w:val="clear" w:color="auto" w:fill="FFFFFF"/>
          <w:lang w:val="en-US" w:eastAsia="zh-CN"/>
        </w:rPr>
        <w:t>120.20</w:t>
      </w:r>
      <w:r>
        <w:rPr>
          <w:rFonts w:hint="eastAsia" w:ascii="仿宋" w:hAnsi="仿宋" w:eastAsia="仿宋" w:cs="仿宋"/>
          <w:color w:val="434343"/>
          <w:sz w:val="32"/>
          <w:szCs w:val="32"/>
          <w:shd w:val="clear" w:color="auto" w:fill="FFFFFF"/>
        </w:rPr>
        <w:t>万元,较上年</w:t>
      </w:r>
      <w:r>
        <w:rPr>
          <w:rFonts w:hint="eastAsia" w:ascii="仿宋" w:hAnsi="仿宋" w:eastAsia="仿宋" w:cs="仿宋"/>
          <w:color w:val="434343"/>
          <w:sz w:val="32"/>
          <w:szCs w:val="32"/>
          <w:shd w:val="clear" w:color="auto" w:fill="FFFFFF"/>
          <w:lang w:eastAsia="zh-CN"/>
        </w:rPr>
        <w:t>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万元,其中:一般公共预算拨款收入</w:t>
      </w:r>
      <w:r>
        <w:rPr>
          <w:rFonts w:hint="eastAsia" w:ascii="仿宋" w:hAnsi="仿宋" w:eastAsia="仿宋" w:cs="仿宋"/>
          <w:color w:val="434343"/>
          <w:sz w:val="32"/>
          <w:szCs w:val="32"/>
          <w:shd w:val="clear" w:color="auto" w:fill="FFFFFF"/>
          <w:lang w:val="en-US" w:eastAsia="zh-CN"/>
        </w:rPr>
        <w:t>108.20</w:t>
      </w:r>
      <w:r>
        <w:rPr>
          <w:rFonts w:hint="eastAsia" w:ascii="仿宋" w:hAnsi="仿宋" w:eastAsia="仿宋" w:cs="仿宋"/>
          <w:color w:val="434343"/>
          <w:sz w:val="32"/>
          <w:szCs w:val="32"/>
          <w:shd w:val="clear" w:color="auto" w:fill="FFFFFF"/>
        </w:rPr>
        <w:t>万元,较上年预算安排增加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 上级补助收入6万元,较上年预算安排增加</w:t>
      </w:r>
      <w:r>
        <w:rPr>
          <w:rFonts w:hint="eastAsia" w:ascii="仿宋" w:hAnsi="仿宋" w:eastAsia="仿宋" w:cs="仿宋"/>
          <w:color w:val="434343"/>
          <w:sz w:val="32"/>
          <w:szCs w:val="32"/>
          <w:shd w:val="clear" w:color="auto" w:fill="FFFFFF"/>
          <w:lang w:val="en-US" w:eastAsia="zh-CN"/>
        </w:rPr>
        <w:t>0</w:t>
      </w:r>
      <w:r>
        <w:rPr>
          <w:rFonts w:hint="eastAsia" w:ascii="仿宋" w:hAnsi="仿宋" w:eastAsia="仿宋" w:cs="仿宋"/>
          <w:color w:val="434343"/>
          <w:sz w:val="32"/>
          <w:szCs w:val="32"/>
          <w:shd w:val="clear" w:color="auto" w:fill="FFFFFF"/>
        </w:rPr>
        <w:t>万元</w:t>
      </w:r>
      <w:r>
        <w:rPr>
          <w:rFonts w:hint="eastAsia" w:ascii="仿宋" w:hAnsi="仿宋" w:eastAsia="仿宋" w:cs="仿宋"/>
          <w:color w:val="434343"/>
          <w:sz w:val="32"/>
          <w:szCs w:val="32"/>
          <w:shd w:val="clear" w:color="auto" w:fill="FFFFFF"/>
          <w:lang w:eastAsia="zh-CN"/>
        </w:rPr>
        <w:t>，其他收入</w:t>
      </w:r>
      <w:r>
        <w:rPr>
          <w:rFonts w:hint="eastAsia" w:ascii="仿宋" w:hAnsi="仿宋" w:eastAsia="仿宋" w:cs="仿宋"/>
          <w:color w:val="434343"/>
          <w:sz w:val="32"/>
          <w:szCs w:val="32"/>
          <w:shd w:val="clear" w:color="auto" w:fill="FFFFFF"/>
          <w:lang w:val="en-US" w:eastAsia="zh-CN"/>
        </w:rPr>
        <w:t>6万元，较上年预算安排增加0万元。</w:t>
      </w:r>
    </w:p>
    <w:p w14:paraId="6581A177">
      <w:pPr>
        <w:pStyle w:val="5"/>
        <w:widowControl/>
        <w:numPr>
          <w:ilvl w:val="0"/>
          <w:numId w:val="0"/>
        </w:numPr>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lang w:eastAsia="zh-CN"/>
        </w:rPr>
        <w:t>（二）</w:t>
      </w:r>
      <w:r>
        <w:rPr>
          <w:rFonts w:hint="eastAsia" w:ascii="仿宋" w:hAnsi="仿宋" w:eastAsia="仿宋" w:cs="仿宋"/>
          <w:color w:val="434343"/>
          <w:sz w:val="32"/>
          <w:szCs w:val="32"/>
          <w:shd w:val="clear" w:color="auto" w:fill="FFFFFF"/>
        </w:rPr>
        <w:t>支出预算情况</w:t>
      </w:r>
    </w:p>
    <w:p w14:paraId="2F1B98A9">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年德安县支出预算总额为</w:t>
      </w:r>
      <w:r>
        <w:rPr>
          <w:rFonts w:hint="eastAsia" w:ascii="仿宋" w:hAnsi="仿宋" w:eastAsia="仿宋" w:cs="仿宋"/>
          <w:color w:val="434343"/>
          <w:sz w:val="32"/>
          <w:szCs w:val="32"/>
          <w:shd w:val="clear" w:color="auto" w:fill="FFFFFF"/>
          <w:lang w:val="en-US" w:eastAsia="zh-CN"/>
        </w:rPr>
        <w:t>120.20</w:t>
      </w:r>
      <w:r>
        <w:rPr>
          <w:rFonts w:hint="eastAsia" w:ascii="仿宋" w:hAnsi="仿宋" w:eastAsia="仿宋" w:cs="仿宋"/>
          <w:color w:val="434343"/>
          <w:sz w:val="32"/>
          <w:szCs w:val="32"/>
          <w:shd w:val="clear" w:color="auto" w:fill="FFFFFF"/>
        </w:rPr>
        <w:t>万元</w:t>
      </w:r>
      <w:r>
        <w:rPr>
          <w:rFonts w:hint="eastAsia" w:ascii="仿宋" w:hAnsi="仿宋" w:eastAsia="仿宋" w:cs="仿宋"/>
          <w:color w:val="434343"/>
          <w:sz w:val="32"/>
          <w:szCs w:val="32"/>
          <w:shd w:val="clear" w:color="auto" w:fill="FFFFFF"/>
        </w:rPr>
        <w:fldChar w:fldCharType="begin"/>
      </w:r>
      <w:r>
        <w:rPr>
          <w:rFonts w:hint="eastAsia" w:ascii="仿宋" w:hAnsi="仿宋" w:eastAsia="仿宋" w:cs="仿宋"/>
          <w:color w:val="434343"/>
          <w:sz w:val="32"/>
          <w:szCs w:val="32"/>
          <w:shd w:val="clear" w:color="auto" w:fill="FFFFFF"/>
        </w:rPr>
        <w:instrText xml:space="preserve">MERGEFIELD ${page400644146.ds215660413_REP_BGT_T_HC1100002019_DXQ02_S_ZJ}</w:instrText>
      </w:r>
      <w:r>
        <w:rPr>
          <w:rFonts w:hint="eastAsia" w:ascii="仿宋" w:hAnsi="仿宋" w:eastAsia="仿宋" w:cs="仿宋"/>
          <w:color w:val="434343"/>
          <w:sz w:val="32"/>
          <w:szCs w:val="32"/>
          <w:shd w:val="clear" w:color="auto" w:fill="FFFFFF"/>
        </w:rPr>
        <w:fldChar w:fldCharType="separate"/>
      </w:r>
      <w:r>
        <w:rPr>
          <w:rFonts w:hint="eastAsia" w:ascii="仿宋" w:hAnsi="仿宋" w:eastAsia="仿宋" w:cs="仿宋"/>
          <w:color w:val="434343"/>
          <w:sz w:val="32"/>
          <w:szCs w:val="32"/>
          <w:shd w:val="clear" w:color="auto" w:fill="FFFFFF"/>
        </w:rPr>
        <w:t>,较上年预算安排增加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w:t>
      </w:r>
      <w:r>
        <w:rPr>
          <w:rFonts w:hint="eastAsia" w:ascii="仿宋" w:hAnsi="仿宋" w:eastAsia="仿宋" w:cs="仿宋"/>
          <w:color w:val="434343"/>
          <w:sz w:val="32"/>
          <w:szCs w:val="32"/>
          <w:shd w:val="clear" w:color="auto" w:fill="FFFFFF"/>
        </w:rPr>
        <w:fldChar w:fldCharType="end"/>
      </w:r>
      <w:r>
        <w:rPr>
          <w:rFonts w:hint="eastAsia" w:ascii="仿宋" w:hAnsi="仿宋" w:eastAsia="仿宋" w:cs="仿宋"/>
          <w:color w:val="434343"/>
          <w:sz w:val="32"/>
          <w:szCs w:val="32"/>
          <w:shd w:val="clear" w:color="auto" w:fill="FFFFFF"/>
        </w:rPr>
        <w:t>其中：</w:t>
      </w:r>
    </w:p>
    <w:p w14:paraId="2504FC62">
      <w:pPr>
        <w:widowControl/>
        <w:adjustRightInd w:val="0"/>
        <w:spacing w:line="560" w:lineRule="exact"/>
        <w:ind w:firstLine="640" w:firstLineChars="200"/>
        <w:jc w:val="left"/>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其中:按支出项目类别划分:基本支出</w:t>
      </w:r>
      <w:r>
        <w:rPr>
          <w:rFonts w:hint="eastAsia" w:ascii="仿宋" w:hAnsi="仿宋" w:eastAsia="仿宋" w:cs="仿宋"/>
          <w:color w:val="434343"/>
          <w:sz w:val="32"/>
          <w:szCs w:val="32"/>
          <w:shd w:val="clear" w:color="auto" w:fill="FFFFFF"/>
          <w:lang w:val="en-US" w:eastAsia="zh-CN"/>
        </w:rPr>
        <w:t>101.70</w:t>
      </w:r>
      <w:r>
        <w:rPr>
          <w:rFonts w:hint="eastAsia" w:ascii="仿宋" w:hAnsi="仿宋" w:eastAsia="仿宋" w:cs="仿宋"/>
          <w:color w:val="434343"/>
          <w:sz w:val="32"/>
          <w:szCs w:val="32"/>
          <w:shd w:val="clear" w:color="auto" w:fill="FFFFFF"/>
        </w:rPr>
        <w:t>万元,较上年预算安排增加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万元,包括：工资福利支出</w:t>
      </w:r>
      <w:r>
        <w:rPr>
          <w:rFonts w:hint="eastAsia" w:ascii="仿宋" w:hAnsi="仿宋" w:eastAsia="仿宋" w:cs="仿宋"/>
          <w:color w:val="434343"/>
          <w:sz w:val="32"/>
          <w:szCs w:val="32"/>
          <w:shd w:val="clear" w:color="auto" w:fill="FFFFFF"/>
          <w:lang w:val="en-US" w:eastAsia="zh-CN"/>
        </w:rPr>
        <w:t>91.18</w:t>
      </w:r>
      <w:r>
        <w:rPr>
          <w:rFonts w:hint="eastAsia" w:ascii="仿宋" w:hAnsi="仿宋" w:eastAsia="仿宋" w:cs="仿宋"/>
          <w:color w:val="434343"/>
          <w:sz w:val="32"/>
          <w:szCs w:val="32"/>
          <w:shd w:val="clear" w:color="auto" w:fill="FFFFFF"/>
        </w:rPr>
        <w:t>万元,商品和服务支出</w:t>
      </w:r>
      <w:r>
        <w:rPr>
          <w:rFonts w:hint="eastAsia" w:ascii="仿宋" w:hAnsi="仿宋" w:eastAsia="仿宋" w:cs="仿宋"/>
          <w:color w:val="434343"/>
          <w:sz w:val="32"/>
          <w:szCs w:val="32"/>
          <w:shd w:val="clear" w:color="auto" w:fill="FFFFFF"/>
          <w:lang w:val="en-US" w:eastAsia="zh-CN"/>
        </w:rPr>
        <w:t>9.52</w:t>
      </w:r>
      <w:r>
        <w:rPr>
          <w:rFonts w:hint="eastAsia" w:ascii="仿宋" w:hAnsi="仿宋" w:eastAsia="仿宋" w:cs="仿宋"/>
          <w:color w:val="434343"/>
          <w:sz w:val="32"/>
          <w:szCs w:val="32"/>
          <w:shd w:val="clear" w:color="auto" w:fill="FFFFFF"/>
        </w:rPr>
        <w:t>万元</w:t>
      </w:r>
      <w:r>
        <w:rPr>
          <w:rFonts w:hint="eastAsia" w:ascii="仿宋" w:hAnsi="仿宋" w:eastAsia="仿宋" w:cs="仿宋"/>
          <w:color w:val="434343"/>
          <w:sz w:val="32"/>
          <w:szCs w:val="32"/>
          <w:shd w:val="clear" w:color="auto" w:fill="FFFFFF"/>
          <w:lang w:eastAsia="zh-CN"/>
        </w:rPr>
        <w:t>，对个人和家庭的补贴</w:t>
      </w:r>
      <w:r>
        <w:rPr>
          <w:rFonts w:hint="eastAsia" w:ascii="仿宋" w:hAnsi="仿宋" w:eastAsia="仿宋" w:cs="仿宋"/>
          <w:color w:val="434343"/>
          <w:sz w:val="32"/>
          <w:szCs w:val="32"/>
          <w:shd w:val="clear" w:color="auto" w:fill="FFFFFF"/>
          <w:lang w:val="en-US" w:eastAsia="zh-CN"/>
        </w:rPr>
        <w:t>1万元</w:t>
      </w:r>
      <w:r>
        <w:rPr>
          <w:rFonts w:hint="eastAsia" w:ascii="仿宋" w:hAnsi="仿宋" w:eastAsia="仿宋" w:cs="仿宋"/>
          <w:color w:val="434343"/>
          <w:sz w:val="32"/>
          <w:szCs w:val="32"/>
          <w:shd w:val="clear" w:color="auto" w:fill="FFFFFF"/>
        </w:rPr>
        <w:t>；项目支出18.5万元，较上年预算安排无变动,其中：商品和服务支出</w:t>
      </w:r>
      <w:r>
        <w:rPr>
          <w:rFonts w:hint="eastAsia" w:ascii="仿宋" w:hAnsi="仿宋" w:eastAsia="仿宋" w:cs="仿宋"/>
          <w:color w:val="434343"/>
          <w:sz w:val="32"/>
          <w:szCs w:val="32"/>
          <w:shd w:val="clear" w:color="auto" w:fill="FFFFFF"/>
          <w:lang w:val="en-US" w:eastAsia="zh-CN"/>
        </w:rPr>
        <w:t>15.5</w:t>
      </w:r>
      <w:r>
        <w:rPr>
          <w:rFonts w:hint="eastAsia" w:ascii="仿宋" w:hAnsi="仿宋" w:eastAsia="仿宋" w:cs="仿宋"/>
          <w:color w:val="434343"/>
          <w:sz w:val="32"/>
          <w:szCs w:val="32"/>
          <w:shd w:val="clear" w:color="auto" w:fill="FFFFFF"/>
        </w:rPr>
        <w:t>万元,对个人和家庭的补助3万元。</w:t>
      </w:r>
    </w:p>
    <w:p w14:paraId="617F7529">
      <w:pPr>
        <w:pStyle w:val="5"/>
        <w:widowControl/>
        <w:shd w:val="clear" w:color="auto" w:fill="FFFFFF"/>
        <w:spacing w:before="0" w:beforeAutospacing="0" w:after="0" w:afterAutospacing="0" w:line="560" w:lineRule="exac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kern w:val="2"/>
          <w:sz w:val="32"/>
          <w:szCs w:val="32"/>
          <w:shd w:val="clear" w:color="auto" w:fill="FFFFFF"/>
          <w:lang w:val="en-US" w:eastAsia="zh-CN" w:bidi="ar-SA"/>
        </w:rPr>
        <w:t>按支出功能科目划分:一般公共服务支出98.92万元,较上年预算安排增加8.96万元;行政事业单位养老支出9.51万元，较上年预算安排增加1.22 万元;卫生健康支出3.89万元,较上年预算安排增加0.49万元;住房保障支出7.88万元,较上年预算安排增加1.05万元。</w:t>
      </w:r>
    </w:p>
    <w:p w14:paraId="375CA74B">
      <w:pPr>
        <w:pStyle w:val="5"/>
        <w:widowControl/>
        <w:shd w:val="clear" w:color="auto" w:fill="FFFFFF"/>
        <w:spacing w:before="0" w:beforeAutospacing="0" w:after="0" w:afterAutospacing="0" w:line="560" w:lineRule="exac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按支出经济分类划分:工资福利支出</w:t>
      </w:r>
      <w:r>
        <w:rPr>
          <w:rFonts w:hint="eastAsia" w:ascii="仿宋" w:hAnsi="仿宋" w:eastAsia="仿宋" w:cs="仿宋"/>
          <w:color w:val="434343"/>
          <w:sz w:val="32"/>
          <w:szCs w:val="32"/>
          <w:shd w:val="clear" w:color="auto" w:fill="FFFFFF"/>
          <w:lang w:val="en-US" w:eastAsia="zh-CN"/>
        </w:rPr>
        <w:t>91.18</w:t>
      </w:r>
      <w:r>
        <w:rPr>
          <w:rFonts w:hint="eastAsia" w:ascii="仿宋" w:hAnsi="仿宋" w:eastAsia="仿宋" w:cs="仿宋"/>
          <w:color w:val="434343"/>
          <w:sz w:val="32"/>
          <w:szCs w:val="32"/>
          <w:shd w:val="clear" w:color="auto" w:fill="FFFFFF"/>
        </w:rPr>
        <w:t>万元,较上年预算安排增加</w:t>
      </w:r>
      <w:r>
        <w:rPr>
          <w:rFonts w:hint="eastAsia" w:ascii="仿宋" w:hAnsi="仿宋" w:eastAsia="仿宋" w:cs="仿宋"/>
          <w:color w:val="434343"/>
          <w:sz w:val="32"/>
          <w:szCs w:val="32"/>
          <w:shd w:val="clear" w:color="auto" w:fill="FFFFFF"/>
          <w:lang w:val="en-US" w:eastAsia="zh-CN"/>
        </w:rPr>
        <w:t>17.81</w:t>
      </w:r>
      <w:r>
        <w:rPr>
          <w:rFonts w:hint="eastAsia" w:ascii="仿宋" w:hAnsi="仿宋" w:eastAsia="仿宋" w:cs="仿宋"/>
          <w:color w:val="434343"/>
          <w:sz w:val="32"/>
          <w:szCs w:val="32"/>
          <w:shd w:val="clear" w:color="auto" w:fill="FFFFFF"/>
        </w:rPr>
        <w:t>万元;商品和服务支出</w:t>
      </w:r>
      <w:r>
        <w:rPr>
          <w:rFonts w:hint="eastAsia" w:ascii="仿宋" w:hAnsi="仿宋" w:eastAsia="仿宋" w:cs="仿宋"/>
          <w:color w:val="434343"/>
          <w:sz w:val="32"/>
          <w:szCs w:val="32"/>
          <w:shd w:val="clear" w:color="auto" w:fill="FFFFFF"/>
          <w:lang w:val="en-US" w:eastAsia="zh-CN"/>
        </w:rPr>
        <w:t>25.02</w:t>
      </w:r>
      <w:r>
        <w:rPr>
          <w:rFonts w:hint="eastAsia" w:ascii="仿宋" w:hAnsi="仿宋" w:eastAsia="仿宋" w:cs="仿宋"/>
          <w:color w:val="434343"/>
          <w:sz w:val="32"/>
          <w:szCs w:val="32"/>
          <w:shd w:val="clear" w:color="auto" w:fill="FFFFFF"/>
        </w:rPr>
        <w:t>万元,较上年预算安排</w:t>
      </w:r>
      <w:r>
        <w:rPr>
          <w:rFonts w:hint="eastAsia" w:ascii="仿宋" w:hAnsi="仿宋" w:eastAsia="仿宋" w:cs="仿宋"/>
          <w:color w:val="434343"/>
          <w:sz w:val="32"/>
          <w:szCs w:val="32"/>
          <w:shd w:val="clear" w:color="auto" w:fill="FFFFFF"/>
          <w:lang w:eastAsia="zh-CN"/>
        </w:rPr>
        <w:t>减少</w:t>
      </w:r>
      <w:r>
        <w:rPr>
          <w:rFonts w:hint="eastAsia" w:ascii="仿宋" w:hAnsi="仿宋" w:eastAsia="仿宋" w:cs="仿宋"/>
          <w:color w:val="434343"/>
          <w:sz w:val="32"/>
          <w:szCs w:val="32"/>
          <w:shd w:val="clear" w:color="auto" w:fill="FFFFFF"/>
          <w:lang w:val="en-US" w:eastAsia="zh-CN"/>
        </w:rPr>
        <w:t>6.31</w:t>
      </w:r>
      <w:r>
        <w:rPr>
          <w:rFonts w:hint="eastAsia" w:ascii="仿宋" w:hAnsi="仿宋" w:eastAsia="仿宋" w:cs="仿宋"/>
          <w:color w:val="434343"/>
          <w:sz w:val="32"/>
          <w:szCs w:val="32"/>
          <w:shd w:val="clear" w:color="auto" w:fill="FFFFFF"/>
        </w:rPr>
        <w:t>万元;对个人和家庭的补助</w:t>
      </w:r>
      <w:r>
        <w:rPr>
          <w:rFonts w:hint="eastAsia" w:ascii="仿宋" w:hAnsi="仿宋" w:eastAsia="仿宋" w:cs="仿宋"/>
          <w:color w:val="434343"/>
          <w:sz w:val="32"/>
          <w:szCs w:val="32"/>
          <w:shd w:val="clear" w:color="auto" w:fill="FFFFFF"/>
          <w:lang w:val="en-US" w:eastAsia="zh-CN"/>
        </w:rPr>
        <w:t>4</w:t>
      </w:r>
      <w:r>
        <w:rPr>
          <w:rFonts w:hint="eastAsia" w:ascii="仿宋" w:hAnsi="仿宋" w:eastAsia="仿宋" w:cs="仿宋"/>
          <w:color w:val="434343"/>
          <w:sz w:val="32"/>
          <w:szCs w:val="32"/>
          <w:shd w:val="clear" w:color="auto" w:fill="FFFFFF"/>
        </w:rPr>
        <w:t>万元,较上年预算安排</w:t>
      </w:r>
      <w:r>
        <w:rPr>
          <w:rFonts w:hint="eastAsia" w:ascii="仿宋" w:hAnsi="仿宋" w:eastAsia="仿宋" w:cs="仿宋"/>
          <w:color w:val="434343"/>
          <w:sz w:val="32"/>
          <w:szCs w:val="32"/>
          <w:shd w:val="clear" w:color="auto" w:fill="FFFFFF"/>
          <w:lang w:eastAsia="zh-CN"/>
        </w:rPr>
        <w:t>增加</w:t>
      </w:r>
      <w:r>
        <w:rPr>
          <w:rFonts w:hint="eastAsia" w:ascii="仿宋" w:hAnsi="仿宋" w:eastAsia="仿宋" w:cs="仿宋"/>
          <w:color w:val="434343"/>
          <w:sz w:val="32"/>
          <w:szCs w:val="32"/>
          <w:shd w:val="clear" w:color="auto" w:fill="FFFFFF"/>
          <w:lang w:val="en-US" w:eastAsia="zh-CN"/>
        </w:rPr>
        <w:t>1万元</w:t>
      </w:r>
      <w:r>
        <w:rPr>
          <w:rFonts w:hint="eastAsia" w:ascii="仿宋" w:hAnsi="仿宋" w:eastAsia="仿宋" w:cs="仿宋"/>
          <w:color w:val="434343"/>
          <w:sz w:val="32"/>
          <w:szCs w:val="32"/>
          <w:shd w:val="clear" w:color="auto" w:fill="FFFFFF"/>
        </w:rPr>
        <w:t>。</w:t>
      </w:r>
    </w:p>
    <w:p w14:paraId="498DB993">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(三)财政拨款支出情况</w:t>
      </w:r>
    </w:p>
    <w:p w14:paraId="75B89154">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年德安县红十字会</w:t>
      </w:r>
      <w:r>
        <w:rPr>
          <w:rFonts w:hint="eastAsia" w:ascii="仿宋" w:hAnsi="仿宋" w:eastAsia="仿宋" w:cs="仿宋"/>
          <w:color w:val="434343"/>
          <w:sz w:val="32"/>
          <w:szCs w:val="32"/>
          <w:shd w:val="clear" w:color="auto" w:fill="FFFFFF"/>
          <w:lang w:eastAsia="zh-CN"/>
        </w:rPr>
        <w:t>财政</w:t>
      </w:r>
      <w:r>
        <w:rPr>
          <w:rFonts w:hint="eastAsia" w:ascii="仿宋" w:hAnsi="仿宋" w:eastAsia="仿宋" w:cs="仿宋"/>
          <w:color w:val="434343"/>
          <w:sz w:val="32"/>
          <w:szCs w:val="32"/>
          <w:shd w:val="clear" w:color="auto" w:fill="FFFFFF"/>
        </w:rPr>
        <w:t>拨款支出预算总额</w:t>
      </w:r>
      <w:r>
        <w:rPr>
          <w:rFonts w:hint="eastAsia" w:ascii="仿宋" w:hAnsi="仿宋" w:eastAsia="仿宋" w:cs="仿宋"/>
          <w:color w:val="434343"/>
          <w:sz w:val="32"/>
          <w:szCs w:val="32"/>
          <w:shd w:val="clear" w:color="auto" w:fill="FFFFFF"/>
          <w:lang w:val="en-US" w:eastAsia="zh-CN"/>
        </w:rPr>
        <w:t xml:space="preserve"> 108.20</w:t>
      </w:r>
      <w:r>
        <w:rPr>
          <w:rFonts w:hint="eastAsia" w:ascii="仿宋" w:hAnsi="仿宋" w:eastAsia="仿宋" w:cs="仿宋"/>
          <w:color w:val="434343"/>
          <w:sz w:val="32"/>
          <w:szCs w:val="32"/>
          <w:shd w:val="clear" w:color="auto" w:fill="FFFFFF"/>
        </w:rPr>
        <w:t>万元,较上年预算安排增加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w:t>
      </w:r>
    </w:p>
    <w:p w14:paraId="02DEE95B">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按支出功能科目划分:</w:t>
      </w:r>
      <w:r>
        <w:rPr>
          <w:rFonts w:hint="eastAsia" w:ascii="仿宋" w:hAnsi="仿宋" w:eastAsia="仿宋" w:cs="仿宋"/>
          <w:color w:val="434343"/>
          <w:sz w:val="32"/>
          <w:szCs w:val="32"/>
          <w:shd w:val="clear" w:color="auto" w:fill="FFFFFF"/>
          <w:lang w:val="en-US" w:eastAsia="zh-CN"/>
        </w:rPr>
        <w:t xml:space="preserve"> </w:t>
      </w:r>
      <w:r>
        <w:rPr>
          <w:rFonts w:hint="eastAsia" w:ascii="仿宋" w:hAnsi="仿宋" w:eastAsia="仿宋" w:cs="仿宋"/>
          <w:color w:val="434343"/>
          <w:sz w:val="32"/>
          <w:szCs w:val="32"/>
          <w:shd w:val="clear" w:color="auto" w:fill="FFFFFF"/>
        </w:rPr>
        <w:t>一般公共服务支</w:t>
      </w:r>
      <w:r>
        <w:rPr>
          <w:rFonts w:hint="eastAsia" w:ascii="仿宋" w:hAnsi="仿宋" w:eastAsia="仿宋" w:cs="仿宋"/>
          <w:color w:val="434343"/>
          <w:sz w:val="32"/>
          <w:szCs w:val="32"/>
          <w:shd w:val="clear" w:color="auto" w:fill="FFFFFF"/>
          <w:lang w:eastAsia="zh-CN"/>
        </w:rPr>
        <w:t>出</w:t>
      </w:r>
      <w:r>
        <w:rPr>
          <w:rFonts w:hint="eastAsia" w:ascii="仿宋" w:hAnsi="仿宋" w:eastAsia="仿宋" w:cs="仿宋"/>
          <w:color w:val="434343"/>
          <w:sz w:val="32"/>
          <w:szCs w:val="32"/>
          <w:shd w:val="clear" w:color="auto" w:fill="FFFFFF"/>
          <w:lang w:val="en-US" w:eastAsia="zh-CN"/>
        </w:rPr>
        <w:t>86.92</w:t>
      </w:r>
      <w:r>
        <w:rPr>
          <w:rFonts w:hint="eastAsia" w:ascii="仿宋" w:hAnsi="仿宋" w:eastAsia="仿宋" w:cs="仿宋"/>
          <w:color w:val="434343"/>
          <w:sz w:val="32"/>
          <w:szCs w:val="32"/>
          <w:shd w:val="clear" w:color="auto" w:fill="FFFFFF"/>
          <w:lang w:eastAsia="zh-CN"/>
        </w:rPr>
        <w:t>万</w:t>
      </w:r>
      <w:r>
        <w:rPr>
          <w:rFonts w:hint="eastAsia" w:ascii="仿宋" w:hAnsi="仿宋" w:eastAsia="仿宋" w:cs="仿宋"/>
          <w:color w:val="434343"/>
          <w:sz w:val="32"/>
          <w:szCs w:val="32"/>
          <w:shd w:val="clear" w:color="auto" w:fill="FFFFFF"/>
        </w:rPr>
        <w:t>元</w:t>
      </w:r>
      <w:r>
        <w:rPr>
          <w:rFonts w:hint="eastAsia" w:ascii="仿宋" w:hAnsi="仿宋" w:eastAsia="仿宋" w:cs="仿宋"/>
          <w:color w:val="434343"/>
          <w:sz w:val="32"/>
          <w:szCs w:val="32"/>
          <w:shd w:val="clear" w:color="auto" w:fill="FFFFFF"/>
          <w:lang w:eastAsia="zh-CN"/>
        </w:rPr>
        <w:t>，行政事业单位养老</w:t>
      </w:r>
      <w:r>
        <w:rPr>
          <w:rFonts w:hint="eastAsia" w:ascii="仿宋" w:hAnsi="仿宋" w:eastAsia="仿宋" w:cs="仿宋"/>
          <w:color w:val="434343"/>
          <w:sz w:val="32"/>
          <w:szCs w:val="32"/>
          <w:shd w:val="clear" w:color="auto" w:fill="FFFFFF"/>
        </w:rPr>
        <w:t>支出</w:t>
      </w:r>
      <w:r>
        <w:rPr>
          <w:rFonts w:hint="eastAsia" w:ascii="仿宋" w:hAnsi="仿宋" w:eastAsia="仿宋" w:cs="仿宋"/>
          <w:color w:val="434343"/>
          <w:sz w:val="32"/>
          <w:szCs w:val="32"/>
          <w:shd w:val="clear" w:color="auto" w:fill="FFFFFF"/>
          <w:lang w:val="en-US" w:eastAsia="zh-CN"/>
        </w:rPr>
        <w:t>9.51</w:t>
      </w:r>
      <w:r>
        <w:rPr>
          <w:rFonts w:hint="eastAsia" w:ascii="仿宋" w:hAnsi="仿宋" w:eastAsia="仿宋" w:cs="仿宋"/>
          <w:color w:val="434343"/>
          <w:sz w:val="32"/>
          <w:szCs w:val="32"/>
          <w:shd w:val="clear" w:color="auto" w:fill="FFFFFF"/>
        </w:rPr>
        <w:t>万元,卫生健康支出</w:t>
      </w:r>
      <w:r>
        <w:rPr>
          <w:rFonts w:hint="eastAsia" w:ascii="仿宋" w:hAnsi="仿宋" w:eastAsia="仿宋" w:cs="仿宋"/>
          <w:color w:val="434343"/>
          <w:sz w:val="32"/>
          <w:szCs w:val="32"/>
          <w:shd w:val="clear" w:color="auto" w:fill="FFFFFF"/>
          <w:lang w:val="en-US" w:eastAsia="zh-CN"/>
        </w:rPr>
        <w:t>3.89</w:t>
      </w:r>
      <w:r>
        <w:rPr>
          <w:rFonts w:hint="eastAsia" w:ascii="仿宋" w:hAnsi="仿宋" w:eastAsia="仿宋" w:cs="仿宋"/>
          <w:color w:val="434343"/>
          <w:sz w:val="32"/>
          <w:szCs w:val="32"/>
          <w:shd w:val="clear" w:color="auto" w:fill="FFFFFF"/>
        </w:rPr>
        <w:t>万元,住房保障支出</w:t>
      </w:r>
      <w:r>
        <w:rPr>
          <w:rFonts w:hint="eastAsia" w:ascii="仿宋" w:hAnsi="仿宋" w:eastAsia="仿宋" w:cs="仿宋"/>
          <w:color w:val="434343"/>
          <w:sz w:val="32"/>
          <w:szCs w:val="32"/>
          <w:shd w:val="clear" w:color="auto" w:fill="FFFFFF"/>
          <w:lang w:val="en-US" w:eastAsia="zh-CN"/>
        </w:rPr>
        <w:t>7.88</w:t>
      </w:r>
      <w:r>
        <w:rPr>
          <w:rFonts w:hint="eastAsia" w:ascii="仿宋" w:hAnsi="仿宋" w:eastAsia="仿宋" w:cs="仿宋"/>
          <w:color w:val="434343"/>
          <w:sz w:val="32"/>
          <w:szCs w:val="32"/>
          <w:shd w:val="clear" w:color="auto" w:fill="FFFFFF"/>
        </w:rPr>
        <w:t>万元。</w:t>
      </w:r>
    </w:p>
    <w:p w14:paraId="05D1AFAA">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按支出项目类别划分</w:t>
      </w:r>
      <w:r>
        <w:rPr>
          <w:rFonts w:hint="eastAsia" w:ascii="仿宋" w:hAnsi="仿宋" w:eastAsia="仿宋" w:cs="仿宋"/>
          <w:color w:val="434343"/>
          <w:sz w:val="32"/>
          <w:szCs w:val="32"/>
          <w:shd w:val="clear" w:color="auto" w:fill="FFFFFF"/>
          <w:lang w:eastAsia="zh-CN"/>
        </w:rPr>
        <w:t>：</w:t>
      </w:r>
      <w:r>
        <w:rPr>
          <w:rFonts w:hint="eastAsia" w:ascii="仿宋" w:hAnsi="仿宋" w:eastAsia="仿宋" w:cs="仿宋"/>
          <w:color w:val="434343"/>
          <w:sz w:val="32"/>
          <w:szCs w:val="32"/>
          <w:shd w:val="clear" w:color="auto" w:fill="FFFFFF"/>
        </w:rPr>
        <w:t>基本支出</w:t>
      </w:r>
      <w:r>
        <w:rPr>
          <w:rFonts w:hint="eastAsia" w:ascii="仿宋" w:hAnsi="仿宋" w:eastAsia="仿宋" w:cs="仿宋"/>
          <w:color w:val="434343"/>
          <w:sz w:val="32"/>
          <w:szCs w:val="32"/>
          <w:shd w:val="clear" w:color="auto" w:fill="FFFFFF"/>
          <w:lang w:val="en-US" w:eastAsia="zh-CN"/>
        </w:rPr>
        <w:t>89.70</w:t>
      </w:r>
      <w:r>
        <w:rPr>
          <w:rFonts w:hint="eastAsia" w:ascii="仿宋" w:hAnsi="仿宋" w:eastAsia="仿宋" w:cs="仿宋"/>
          <w:color w:val="434343"/>
          <w:sz w:val="32"/>
          <w:szCs w:val="32"/>
          <w:shd w:val="clear" w:color="auto" w:fill="FFFFFF"/>
        </w:rPr>
        <w:t>万元,较上年预算安排增加</w:t>
      </w:r>
      <w:r>
        <w:rPr>
          <w:rFonts w:hint="eastAsia" w:ascii="仿宋" w:hAnsi="仿宋" w:eastAsia="仿宋" w:cs="仿宋"/>
          <w:color w:val="434343"/>
          <w:sz w:val="32"/>
          <w:szCs w:val="32"/>
          <w:shd w:val="clear" w:color="auto" w:fill="FFFFFF"/>
          <w:lang w:val="en-US" w:eastAsia="zh-CN"/>
        </w:rPr>
        <w:t>11.72</w:t>
      </w:r>
      <w:r>
        <w:rPr>
          <w:rFonts w:hint="eastAsia" w:ascii="仿宋" w:hAnsi="仿宋" w:eastAsia="仿宋" w:cs="仿宋"/>
          <w:color w:val="434343"/>
          <w:sz w:val="32"/>
          <w:szCs w:val="32"/>
          <w:shd w:val="clear" w:color="auto" w:fill="FFFFFF"/>
        </w:rPr>
        <w:t>万元,包括:工资福利支出</w:t>
      </w:r>
      <w:r>
        <w:rPr>
          <w:rFonts w:hint="eastAsia" w:ascii="仿宋" w:hAnsi="仿宋" w:eastAsia="仿宋" w:cs="仿宋"/>
          <w:color w:val="434343"/>
          <w:sz w:val="32"/>
          <w:szCs w:val="32"/>
          <w:shd w:val="clear" w:color="auto" w:fill="FFFFFF"/>
          <w:lang w:val="en-US" w:eastAsia="zh-CN"/>
        </w:rPr>
        <w:t>86.18</w:t>
      </w:r>
      <w:r>
        <w:rPr>
          <w:rFonts w:hint="eastAsia" w:ascii="仿宋" w:hAnsi="仿宋" w:eastAsia="仿宋" w:cs="仿宋"/>
          <w:color w:val="434343"/>
          <w:sz w:val="32"/>
          <w:szCs w:val="32"/>
          <w:shd w:val="clear" w:color="auto" w:fill="FFFFFF"/>
        </w:rPr>
        <w:t>万元,商品和服务支出</w:t>
      </w:r>
      <w:r>
        <w:rPr>
          <w:rFonts w:hint="eastAsia" w:ascii="仿宋" w:hAnsi="仿宋" w:eastAsia="仿宋" w:cs="仿宋"/>
          <w:color w:val="434343"/>
          <w:sz w:val="32"/>
          <w:szCs w:val="32"/>
          <w:shd w:val="clear" w:color="auto" w:fill="FFFFFF"/>
          <w:lang w:val="en-US" w:eastAsia="zh-CN"/>
        </w:rPr>
        <w:t>3.52</w:t>
      </w:r>
      <w:r>
        <w:rPr>
          <w:rFonts w:hint="eastAsia" w:ascii="仿宋" w:hAnsi="仿宋" w:eastAsia="仿宋" w:cs="仿宋"/>
          <w:color w:val="434343"/>
          <w:sz w:val="32"/>
          <w:szCs w:val="32"/>
          <w:shd w:val="clear" w:color="auto" w:fill="FFFFFF"/>
        </w:rPr>
        <w:t>万元；项目支出18.5万元,较上年预算安排持平,包括:商品和服务支出</w:t>
      </w:r>
      <w:r>
        <w:rPr>
          <w:rFonts w:hint="eastAsia" w:ascii="仿宋" w:hAnsi="仿宋" w:eastAsia="仿宋" w:cs="仿宋"/>
          <w:color w:val="434343"/>
          <w:sz w:val="32"/>
          <w:szCs w:val="32"/>
          <w:shd w:val="clear" w:color="auto" w:fill="FFFFFF"/>
          <w:lang w:val="en-US" w:eastAsia="zh-CN"/>
        </w:rPr>
        <w:t>15.50</w:t>
      </w:r>
      <w:r>
        <w:rPr>
          <w:rFonts w:hint="eastAsia" w:ascii="仿宋" w:hAnsi="仿宋" w:eastAsia="仿宋" w:cs="仿宋"/>
          <w:color w:val="434343"/>
          <w:sz w:val="32"/>
          <w:szCs w:val="32"/>
          <w:shd w:val="clear" w:color="auto" w:fill="FFFFFF"/>
        </w:rPr>
        <w:t>万元，对个人和家庭补助3万元。</w:t>
      </w:r>
    </w:p>
    <w:p w14:paraId="2FF05A72">
      <w:pPr>
        <w:pStyle w:val="5"/>
        <w:widowControl/>
        <w:shd w:val="clear" w:color="auto" w:fill="FFFFFF"/>
        <w:spacing w:before="0" w:beforeAutospacing="0" w:after="0" w:afterAutospacing="0" w:line="480" w:lineRule="atLeast"/>
        <w:ind w:firstLine="72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(四)政府性基金情况</w:t>
      </w:r>
    </w:p>
    <w:p w14:paraId="03A7692E">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本部门没有使用政府性基金预算拨款安排的支出。</w:t>
      </w:r>
    </w:p>
    <w:p w14:paraId="00F9D227">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(五)国有资本经营情况</w:t>
      </w:r>
    </w:p>
    <w:p w14:paraId="2DB3768F">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本部门没有使用国有资本经营预算拨款安排的支出。</w:t>
      </w:r>
    </w:p>
    <w:p w14:paraId="38F34EC0">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(六)机关运行经费等重要事项的说明</w:t>
      </w:r>
    </w:p>
    <w:p w14:paraId="658CA2B0">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年部门本级及下属单位机关运行费</w:t>
      </w:r>
      <w:r>
        <w:rPr>
          <w:rFonts w:hint="eastAsia" w:ascii="仿宋" w:hAnsi="仿宋" w:eastAsia="仿宋" w:cs="仿宋"/>
          <w:color w:val="434343"/>
          <w:sz w:val="32"/>
          <w:szCs w:val="32"/>
          <w:shd w:val="clear" w:color="auto" w:fill="FFFFFF"/>
          <w:lang w:val="en-US" w:eastAsia="zh-CN"/>
        </w:rPr>
        <w:t>3.52</w:t>
      </w:r>
      <w:r>
        <w:rPr>
          <w:rFonts w:hint="eastAsia" w:ascii="仿宋" w:hAnsi="仿宋" w:eastAsia="仿宋" w:cs="仿宋"/>
          <w:color w:val="434343"/>
          <w:sz w:val="32"/>
          <w:szCs w:val="32"/>
          <w:shd w:val="clear" w:color="auto" w:fill="FFFFFF"/>
        </w:rPr>
        <w:t>万元，比202</w:t>
      </w:r>
      <w:r>
        <w:rPr>
          <w:rFonts w:hint="eastAsia" w:ascii="仿宋" w:hAnsi="仿宋" w:eastAsia="仿宋" w:cs="仿宋"/>
          <w:color w:val="434343"/>
          <w:sz w:val="32"/>
          <w:szCs w:val="32"/>
          <w:shd w:val="clear" w:color="auto" w:fill="FFFFFF"/>
          <w:lang w:val="en-US" w:eastAsia="zh-CN"/>
        </w:rPr>
        <w:t>4</w:t>
      </w:r>
      <w:r>
        <w:rPr>
          <w:rFonts w:hint="eastAsia" w:ascii="仿宋" w:hAnsi="仿宋" w:eastAsia="仿宋" w:cs="仿宋"/>
          <w:color w:val="434343"/>
          <w:sz w:val="32"/>
          <w:szCs w:val="32"/>
          <w:shd w:val="clear" w:color="auto" w:fill="FFFFFF"/>
        </w:rPr>
        <w:t>年预算</w:t>
      </w:r>
      <w:r>
        <w:rPr>
          <w:rFonts w:hint="eastAsia" w:ascii="仿宋" w:hAnsi="仿宋" w:eastAsia="仿宋" w:cs="仿宋"/>
          <w:color w:val="434343"/>
          <w:sz w:val="32"/>
          <w:szCs w:val="32"/>
          <w:shd w:val="clear" w:color="auto" w:fill="FFFFFF"/>
          <w:lang w:eastAsia="zh-CN"/>
        </w:rPr>
        <w:t>减少</w:t>
      </w:r>
      <w:r>
        <w:rPr>
          <w:rFonts w:hint="eastAsia" w:ascii="仿宋" w:hAnsi="仿宋" w:eastAsia="仿宋" w:cs="仿宋"/>
          <w:color w:val="434343"/>
          <w:sz w:val="32"/>
          <w:szCs w:val="32"/>
          <w:shd w:val="clear" w:color="auto" w:fill="FFFFFF"/>
          <w:lang w:val="en-US" w:eastAsia="zh-CN"/>
        </w:rPr>
        <w:t>2.09</w:t>
      </w:r>
      <w:r>
        <w:rPr>
          <w:rFonts w:hint="eastAsia" w:ascii="仿宋" w:hAnsi="仿宋" w:eastAsia="仿宋" w:cs="仿宋"/>
          <w:color w:val="434343"/>
          <w:sz w:val="32"/>
          <w:szCs w:val="32"/>
          <w:shd w:val="clear" w:color="auto" w:fill="FFFFFF"/>
        </w:rPr>
        <w:t>万元，</w:t>
      </w:r>
      <w:r>
        <w:rPr>
          <w:rFonts w:hint="eastAsia" w:ascii="仿宋" w:hAnsi="仿宋" w:eastAsia="仿宋" w:cs="仿宋"/>
          <w:color w:val="434343"/>
          <w:sz w:val="32"/>
          <w:szCs w:val="32"/>
          <w:shd w:val="clear" w:color="auto" w:fill="FFFFFF"/>
          <w:lang w:eastAsia="zh-CN"/>
        </w:rPr>
        <w:t>减少</w:t>
      </w:r>
      <w:r>
        <w:rPr>
          <w:rFonts w:hint="eastAsia" w:ascii="仿宋" w:hAnsi="仿宋" w:eastAsia="仿宋" w:cs="仿宋"/>
          <w:color w:val="434343"/>
          <w:sz w:val="32"/>
          <w:szCs w:val="32"/>
          <w:shd w:val="clear" w:color="auto" w:fill="FFFFFF"/>
          <w:lang w:val="en-US" w:eastAsia="zh-CN"/>
        </w:rPr>
        <w:t>59.38</w:t>
      </w:r>
      <w:r>
        <w:rPr>
          <w:rFonts w:hint="eastAsia" w:ascii="仿宋" w:hAnsi="仿宋" w:eastAsia="仿宋" w:cs="仿宋"/>
          <w:color w:val="434343"/>
          <w:sz w:val="32"/>
          <w:szCs w:val="32"/>
          <w:shd w:val="clear" w:color="auto" w:fill="FFFFFF"/>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3E7BBEA">
      <w:pPr>
        <w:pStyle w:val="5"/>
        <w:widowControl/>
        <w:shd w:val="clear" w:color="auto" w:fill="FFFFFF"/>
        <w:spacing w:before="0" w:beforeAutospacing="0" w:after="0" w:afterAutospacing="0" w:line="480" w:lineRule="atLeast"/>
        <w:ind w:left="645"/>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(七)政府采购情况</w:t>
      </w:r>
    </w:p>
    <w:p w14:paraId="7951440C">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年部门所属各单位政府采购总额</w:t>
      </w:r>
      <w:r>
        <w:rPr>
          <w:rFonts w:hint="eastAsia" w:ascii="仿宋" w:hAnsi="仿宋" w:eastAsia="仿宋" w:cs="仿宋"/>
          <w:color w:val="434343"/>
          <w:sz w:val="32"/>
          <w:szCs w:val="32"/>
          <w:shd w:val="clear" w:color="auto" w:fill="FFFFFF"/>
          <w:lang w:val="en-US" w:eastAsia="zh-CN"/>
        </w:rPr>
        <w:t>0</w:t>
      </w:r>
      <w:r>
        <w:rPr>
          <w:rFonts w:hint="eastAsia" w:ascii="仿宋" w:hAnsi="仿宋" w:eastAsia="仿宋" w:cs="仿宋"/>
          <w:color w:val="434343"/>
          <w:sz w:val="32"/>
          <w:szCs w:val="32"/>
          <w:shd w:val="clear" w:color="auto" w:fill="FFFFFF"/>
        </w:rPr>
        <w:t>万元,其中：政府采购货物预算</w:t>
      </w:r>
      <w:r>
        <w:rPr>
          <w:rFonts w:hint="eastAsia" w:ascii="仿宋" w:hAnsi="仿宋" w:eastAsia="仿宋" w:cs="仿宋"/>
          <w:color w:val="434343"/>
          <w:sz w:val="32"/>
          <w:szCs w:val="32"/>
          <w:shd w:val="clear" w:color="auto" w:fill="FFFFFF"/>
          <w:lang w:val="en-US" w:eastAsia="zh-CN"/>
        </w:rPr>
        <w:t>0</w:t>
      </w:r>
      <w:r>
        <w:rPr>
          <w:rFonts w:hint="eastAsia" w:ascii="仿宋" w:hAnsi="仿宋" w:eastAsia="仿宋" w:cs="仿宋"/>
          <w:color w:val="434343"/>
          <w:sz w:val="32"/>
          <w:szCs w:val="32"/>
          <w:shd w:val="clear" w:color="auto" w:fill="FFFFFF"/>
        </w:rPr>
        <w:t>万元、政府采购工程预算0万元、政府采购服务预算0万元。</w:t>
      </w:r>
    </w:p>
    <w:p w14:paraId="249CB7F6">
      <w:pPr>
        <w:pStyle w:val="5"/>
        <w:widowControl/>
        <w:shd w:val="clear" w:color="auto" w:fill="FFFFFF"/>
        <w:spacing w:before="0" w:beforeAutospacing="0" w:after="0" w:afterAutospacing="0" w:line="480" w:lineRule="atLeast"/>
        <w:ind w:left="420" w:firstLine="240"/>
        <w:rPr>
          <w:rFonts w:hint="eastAsia" w:ascii="仿宋" w:hAnsi="仿宋" w:eastAsia="仿宋" w:cs="仿宋"/>
          <w:color w:val="434343"/>
          <w:sz w:val="32"/>
          <w:szCs w:val="32"/>
        </w:rPr>
      </w:pPr>
      <w:r>
        <w:rPr>
          <w:rFonts w:hint="eastAsia" w:ascii="仿宋" w:hAnsi="仿宋" w:eastAsia="仿宋" w:cs="仿宋"/>
          <w:color w:val="434343"/>
          <w:sz w:val="32"/>
          <w:szCs w:val="32"/>
          <w:shd w:val="clear" w:color="auto" w:fill="FFFFFF"/>
        </w:rPr>
        <w:t>(八)国有资产占有使用情况</w:t>
      </w:r>
    </w:p>
    <w:p w14:paraId="621F7B72">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截至202</w:t>
      </w:r>
      <w:r>
        <w:rPr>
          <w:rFonts w:hint="eastAsia" w:ascii="仿宋" w:hAnsi="仿宋" w:eastAsia="仿宋" w:cs="仿宋"/>
          <w:color w:val="434343"/>
          <w:sz w:val="32"/>
          <w:szCs w:val="32"/>
          <w:shd w:val="clear" w:color="auto" w:fill="FFFFFF"/>
          <w:lang w:val="en-US" w:eastAsia="zh-CN"/>
        </w:rPr>
        <w:t>4</w:t>
      </w:r>
      <w:r>
        <w:rPr>
          <w:rFonts w:hint="eastAsia" w:ascii="仿宋" w:hAnsi="仿宋" w:eastAsia="仿宋" w:cs="仿宋"/>
          <w:color w:val="434343"/>
          <w:sz w:val="32"/>
          <w:szCs w:val="32"/>
          <w:shd w:val="clear" w:color="auto" w:fill="FFFFFF"/>
        </w:rPr>
        <w:t>年12月31日,部门共有车辆0辆，其中：一般公务用车实有数0辆。</w:t>
      </w:r>
    </w:p>
    <w:p w14:paraId="10345C94">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（九）一级项目中各二级项目情况说明</w:t>
      </w:r>
    </w:p>
    <w:p w14:paraId="68CB61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一级项目：红十字会各类项目及经费</w:t>
      </w:r>
    </w:p>
    <w:p w14:paraId="7299FE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1、二级项目：德安县红十字会接收捐赠专项经费</w:t>
      </w:r>
    </w:p>
    <w:p w14:paraId="13334522">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项目概述：用于救助灾区和最需要帮助的困难群体</w:t>
      </w:r>
    </w:p>
    <w:p w14:paraId="3BB50887">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立项依据：为了保护人的生命和健康，发扬人道主义精神，促进和平进步事业，接受捐赠专项经费的实施是为了更好地实现这一宗旨。</w:t>
      </w:r>
    </w:p>
    <w:p w14:paraId="0256CF90">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实施主体：德安县红十字会</w:t>
      </w:r>
    </w:p>
    <w:p w14:paraId="5B1AAC1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实施方案：采用多种形式募捐，继续加强红十字会基层组织建设</w:t>
      </w:r>
    </w:p>
    <w:p w14:paraId="7E814A6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实施周期：经常性项目</w:t>
      </w:r>
    </w:p>
    <w:p w14:paraId="0F3AF741">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年度预算安排：202</w:t>
      </w:r>
      <w:r>
        <w:rPr>
          <w:rFonts w:hint="eastAsia" w:ascii="仿宋" w:hAnsi="仿宋" w:eastAsia="仿宋" w:cs="仿宋"/>
          <w:sz w:val="32"/>
          <w:szCs w:val="32"/>
          <w:lang w:val="en-US" w:eastAsia="zh-CN"/>
        </w:rPr>
        <w:t>5</w:t>
      </w:r>
      <w:r>
        <w:rPr>
          <w:rFonts w:hint="eastAsia" w:ascii="仿宋" w:hAnsi="仿宋" w:eastAsia="仿宋" w:cs="仿宋"/>
          <w:sz w:val="32"/>
          <w:szCs w:val="32"/>
        </w:rPr>
        <w:t>年安排财政拨款5万元</w:t>
      </w:r>
    </w:p>
    <w:p w14:paraId="0F8DB7CE">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绩效目标和指标</w:t>
      </w:r>
    </w:p>
    <w:p w14:paraId="3FEC8C30">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社会效益指标：用于救助灾区和最需要帮助的困难群体</w:t>
      </w:r>
    </w:p>
    <w:p w14:paraId="0C7E93DE">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质量指标：全力做好募捐筹集工作</w:t>
      </w:r>
    </w:p>
    <w:p w14:paraId="36EC8B9A">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满意度指标：社会公众满意度≥95%</w:t>
      </w:r>
    </w:p>
    <w:p w14:paraId="53AFCB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2、二级项目：德安县红十字会应急救护培训专项经费</w:t>
      </w:r>
    </w:p>
    <w:p w14:paraId="03D0F051">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项目概述：做好202</w:t>
      </w:r>
      <w:r>
        <w:rPr>
          <w:rFonts w:hint="eastAsia" w:ascii="仿宋" w:hAnsi="仿宋" w:eastAsia="仿宋" w:cs="仿宋"/>
          <w:sz w:val="32"/>
          <w:szCs w:val="32"/>
          <w:lang w:val="en-US" w:eastAsia="zh-CN"/>
        </w:rPr>
        <w:t>5</w:t>
      </w:r>
      <w:r>
        <w:rPr>
          <w:rFonts w:hint="eastAsia" w:ascii="仿宋" w:hAnsi="仿宋" w:eastAsia="仿宋" w:cs="仿宋"/>
          <w:sz w:val="32"/>
          <w:szCs w:val="32"/>
        </w:rPr>
        <w:t>年应急救护培训工作</w:t>
      </w:r>
    </w:p>
    <w:p w14:paraId="75F25B9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立项依据：为了保护人的生命和健康，发扬人道主义精神，促进和平进步事业，应急救护培训专项经费的实施是为了更好地实现这一宗旨。</w:t>
      </w:r>
    </w:p>
    <w:p w14:paraId="31A67BA6">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）实施主体：德安县红十字会</w:t>
      </w:r>
    </w:p>
    <w:p w14:paraId="07B439DA">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）实施方案：通过开展应急救护，培训弘扬“人道、博爱、奉献”的红十字会精神</w:t>
      </w:r>
      <w:r>
        <w:rPr>
          <w:rFonts w:hint="eastAsia" w:ascii="仿宋" w:hAnsi="仿宋" w:eastAsia="仿宋" w:cs="仿宋"/>
          <w:sz w:val="32"/>
          <w:szCs w:val="32"/>
          <w:lang w:eastAsia="zh-CN"/>
        </w:rPr>
        <w:t>，</w:t>
      </w:r>
      <w:r>
        <w:rPr>
          <w:rFonts w:hint="eastAsia" w:ascii="仿宋" w:hAnsi="仿宋" w:eastAsia="仿宋" w:cs="仿宋"/>
          <w:sz w:val="32"/>
          <w:szCs w:val="32"/>
        </w:rPr>
        <w:t>使更多群众了解并掌握应急救护技能</w:t>
      </w:r>
      <w:r>
        <w:rPr>
          <w:rFonts w:hint="eastAsia" w:ascii="仿宋" w:hAnsi="仿宋" w:eastAsia="仿宋" w:cs="仿宋"/>
          <w:sz w:val="32"/>
          <w:szCs w:val="32"/>
          <w:lang w:eastAsia="zh-CN"/>
        </w:rPr>
        <w:t>，</w:t>
      </w:r>
      <w:r>
        <w:rPr>
          <w:rFonts w:hint="eastAsia" w:ascii="仿宋" w:hAnsi="仿宋" w:eastAsia="仿宋" w:cs="仿宋"/>
          <w:sz w:val="32"/>
          <w:szCs w:val="32"/>
        </w:rPr>
        <w:t>进一步提升广大群众的防灾避险和自救互救能力</w:t>
      </w:r>
      <w:r>
        <w:rPr>
          <w:rFonts w:hint="eastAsia" w:ascii="仿宋" w:hAnsi="仿宋" w:eastAsia="仿宋" w:cs="仿宋"/>
          <w:sz w:val="32"/>
          <w:szCs w:val="32"/>
          <w:lang w:eastAsia="zh-CN"/>
        </w:rPr>
        <w:t>。</w:t>
      </w:r>
    </w:p>
    <w:p w14:paraId="400C12A1">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）实施周期：经常性项目</w:t>
      </w:r>
    </w:p>
    <w:p w14:paraId="069C774C">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）年度预算安排：202</w:t>
      </w:r>
      <w:r>
        <w:rPr>
          <w:rFonts w:hint="eastAsia" w:ascii="仿宋" w:hAnsi="仿宋" w:eastAsia="仿宋" w:cs="仿宋"/>
          <w:sz w:val="32"/>
          <w:szCs w:val="32"/>
          <w:lang w:val="en-US" w:eastAsia="zh-CN"/>
        </w:rPr>
        <w:t>5</w:t>
      </w:r>
      <w:r>
        <w:rPr>
          <w:rFonts w:hint="eastAsia" w:ascii="仿宋" w:hAnsi="仿宋" w:eastAsia="仿宋" w:cs="仿宋"/>
          <w:sz w:val="32"/>
          <w:szCs w:val="32"/>
        </w:rPr>
        <w:t>年安排财政拨款8.5万元</w:t>
      </w:r>
    </w:p>
    <w:p w14:paraId="125A3106">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）绩效目标和指标</w:t>
      </w:r>
    </w:p>
    <w:p w14:paraId="3E9D439A">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社会效益指标：使更多群众了解并掌握应急救护技能</w:t>
      </w:r>
    </w:p>
    <w:p w14:paraId="75635DDC">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质量指标：进一步提升广大群众的防灾避险和自救互救能力</w:t>
      </w:r>
    </w:p>
    <w:p w14:paraId="1C23382B">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满意度指标：社会公众满意度≥95%</w:t>
      </w:r>
    </w:p>
    <w:p w14:paraId="744E2F4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0" w:firstLineChars="200"/>
        <w:textAlignment w:val="auto"/>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3、二级项目：德安县红十字会走访困难群体捐献者家属经费</w:t>
      </w:r>
    </w:p>
    <w:p w14:paraId="64B3EFC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项目概述：走访困难群体、造血干细胞成功捐献者家属经费</w:t>
      </w:r>
    </w:p>
    <w:p w14:paraId="48DC5E6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2）立项依据：</w:t>
      </w:r>
      <w:r>
        <w:rPr>
          <w:rFonts w:hint="eastAsia" w:ascii="仿宋" w:hAnsi="仿宋" w:eastAsia="仿宋" w:cs="仿宋"/>
          <w:sz w:val="32"/>
          <w:szCs w:val="32"/>
          <w:lang w:eastAsia="zh-CN"/>
        </w:rPr>
        <w:t>为了保护人的生命和健康，发扬人道主义精神，促进和平进步事业，走访困难群体和家属专项经费的实施是为了更好地实现这一宗旨。</w:t>
      </w:r>
    </w:p>
    <w:p w14:paraId="174738D3">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）实施主体：德安县红十字会</w:t>
      </w:r>
    </w:p>
    <w:p w14:paraId="2CAD23B5">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）实施方案：积极开展博爱救助活动，把社会各界的温暖送到困难群众中。</w:t>
      </w:r>
    </w:p>
    <w:p w14:paraId="4BB66E7A">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）实施周期：经常性项目</w:t>
      </w:r>
    </w:p>
    <w:p w14:paraId="3E3C8A2D">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）年度预算安排：202</w:t>
      </w:r>
      <w:r>
        <w:rPr>
          <w:rFonts w:hint="eastAsia" w:ascii="仿宋" w:hAnsi="仿宋" w:eastAsia="仿宋" w:cs="仿宋"/>
          <w:sz w:val="32"/>
          <w:szCs w:val="32"/>
          <w:lang w:val="en-US" w:eastAsia="zh-CN"/>
        </w:rPr>
        <w:t>5</w:t>
      </w:r>
      <w:r>
        <w:rPr>
          <w:rFonts w:hint="eastAsia" w:ascii="仿宋" w:hAnsi="仿宋" w:eastAsia="仿宋" w:cs="仿宋"/>
          <w:sz w:val="32"/>
          <w:szCs w:val="32"/>
        </w:rPr>
        <w:t>年安排财政拨款5万元</w:t>
      </w:r>
    </w:p>
    <w:p w14:paraId="3672B18C">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）绩效目标和指标</w:t>
      </w:r>
    </w:p>
    <w:p w14:paraId="28E8CE80">
      <w:pPr>
        <w:keepNext w:val="0"/>
        <w:keepLines w:val="0"/>
        <w:pageBreakBefore w:val="0"/>
        <w:widowControl/>
        <w:shd w:val="clear" w:color="auto" w:fill="FFFFFF"/>
        <w:kinsoku/>
        <w:wordWrap/>
        <w:overflowPunct/>
        <w:topLinePunct w:val="0"/>
        <w:autoSpaceDE/>
        <w:autoSpaceDN/>
        <w:bidi w:val="0"/>
        <w:adjustRightInd/>
        <w:snapToGrid/>
        <w:spacing w:line="39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社会效益指标：采用多种形式开展募捐、租借、义卖活动</w:t>
      </w:r>
      <w:r>
        <w:rPr>
          <w:rFonts w:hint="eastAsia" w:ascii="仿宋" w:hAnsi="仿宋" w:eastAsia="仿宋" w:cs="仿宋"/>
          <w:sz w:val="32"/>
          <w:szCs w:val="32"/>
          <w:lang w:eastAsia="zh-CN"/>
        </w:rPr>
        <w:t>，促进社会融合，激发社会互助精神。</w:t>
      </w:r>
    </w:p>
    <w:p w14:paraId="5E6697FB">
      <w:pPr>
        <w:keepNext w:val="0"/>
        <w:keepLines w:val="0"/>
        <w:pageBreakBefore w:val="0"/>
        <w:widowControl/>
        <w:shd w:val="clear" w:color="auto" w:fill="FFFFFF"/>
        <w:kinsoku/>
        <w:wordWrap/>
        <w:overflowPunct/>
        <w:topLinePunct w:val="0"/>
        <w:autoSpaceDE/>
        <w:autoSpaceDN/>
        <w:bidi w:val="0"/>
        <w:adjustRightInd/>
        <w:snapToGrid/>
        <w:spacing w:line="390" w:lineRule="atLeas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质量指标：积极开展博爱救助活动，把社会各界的温暖送到困难群众中</w:t>
      </w:r>
      <w:r>
        <w:rPr>
          <w:rFonts w:hint="eastAsia" w:ascii="仿宋" w:hAnsi="仿宋" w:eastAsia="仿宋" w:cs="仿宋"/>
          <w:sz w:val="32"/>
          <w:szCs w:val="32"/>
          <w:lang w:eastAsia="zh-CN"/>
        </w:rPr>
        <w:t>。</w:t>
      </w:r>
    </w:p>
    <w:p w14:paraId="2BD8DA32">
      <w:pPr>
        <w:keepNext w:val="0"/>
        <w:keepLines w:val="0"/>
        <w:pageBreakBefore w:val="0"/>
        <w:widowControl/>
        <w:shd w:val="clear" w:color="auto" w:fill="FFFFFF"/>
        <w:kinsoku/>
        <w:wordWrap/>
        <w:overflowPunct/>
        <w:topLinePunct w:val="0"/>
        <w:autoSpaceDE/>
        <w:autoSpaceDN/>
        <w:bidi w:val="0"/>
        <w:adjustRightInd/>
        <w:snapToGrid/>
        <w:spacing w:line="390" w:lineRule="atLeast"/>
        <w:ind w:left="0" w:leftChars="0" w:firstLine="640" w:firstLineChars="200"/>
        <w:jc w:val="both"/>
        <w:textAlignment w:val="auto"/>
        <w:rPr>
          <w:rFonts w:hint="eastAsia" w:ascii="仿宋" w:hAnsi="仿宋" w:eastAsia="仿宋" w:cs="仿宋"/>
          <w:color w:val="434343"/>
          <w:sz w:val="32"/>
          <w:szCs w:val="32"/>
          <w:shd w:val="clear" w:color="auto" w:fill="FFFFFF"/>
        </w:rPr>
      </w:pPr>
      <w:r>
        <w:rPr>
          <w:rFonts w:hint="eastAsia" w:ascii="仿宋" w:hAnsi="仿宋" w:eastAsia="仿宋" w:cs="仿宋"/>
          <w:sz w:val="32"/>
          <w:szCs w:val="32"/>
        </w:rPr>
        <w:t>满意度指标：社会公众满意度≥95%</w:t>
      </w:r>
    </w:p>
    <w:p w14:paraId="1F0D030E">
      <w:pPr>
        <w:pStyle w:val="5"/>
        <w:widowControl/>
        <w:shd w:val="clear" w:color="auto" w:fill="FFFFFF"/>
        <w:spacing w:before="0" w:beforeAutospacing="0" w:after="0" w:afterAutospacing="0" w:line="480" w:lineRule="atLeast"/>
        <w:ind w:left="420"/>
        <w:rPr>
          <w:rFonts w:hint="eastAsia" w:ascii="仿宋" w:hAnsi="仿宋" w:eastAsia="仿宋" w:cs="仿宋"/>
          <w:b/>
          <w:bCs/>
          <w:color w:val="434343"/>
          <w:sz w:val="32"/>
          <w:szCs w:val="32"/>
        </w:rPr>
      </w:pPr>
      <w:r>
        <w:rPr>
          <w:rFonts w:hint="eastAsia" w:ascii="仿宋" w:hAnsi="仿宋" w:eastAsia="仿宋" w:cs="仿宋"/>
          <w:b/>
          <w:bCs/>
          <w:color w:val="434343"/>
          <w:sz w:val="32"/>
          <w:szCs w:val="32"/>
          <w:shd w:val="clear" w:color="auto" w:fill="FFFFFF"/>
        </w:rPr>
        <w:t>二、202</w:t>
      </w:r>
      <w:r>
        <w:rPr>
          <w:rFonts w:hint="eastAsia" w:ascii="仿宋" w:hAnsi="仿宋" w:eastAsia="仿宋" w:cs="仿宋"/>
          <w:b/>
          <w:bCs/>
          <w:color w:val="434343"/>
          <w:sz w:val="32"/>
          <w:szCs w:val="32"/>
          <w:shd w:val="clear" w:color="auto" w:fill="FFFFFF"/>
          <w:lang w:val="en-US" w:eastAsia="zh-CN"/>
        </w:rPr>
        <w:t>5</w:t>
      </w:r>
      <w:r>
        <w:rPr>
          <w:rFonts w:hint="eastAsia" w:ascii="仿宋" w:hAnsi="仿宋" w:eastAsia="仿宋" w:cs="仿宋"/>
          <w:b/>
          <w:bCs/>
          <w:color w:val="434343"/>
          <w:sz w:val="32"/>
          <w:szCs w:val="32"/>
          <w:shd w:val="clear" w:color="auto" w:fill="FFFFFF"/>
        </w:rPr>
        <w:t>年“三公”经费预算情况说明</w:t>
      </w:r>
    </w:p>
    <w:p w14:paraId="701FAFF7">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202</w:t>
      </w:r>
      <w:r>
        <w:rPr>
          <w:rFonts w:hint="eastAsia" w:ascii="仿宋" w:hAnsi="仿宋" w:eastAsia="仿宋" w:cs="仿宋"/>
          <w:color w:val="434343"/>
          <w:sz w:val="32"/>
          <w:szCs w:val="32"/>
          <w:shd w:val="clear" w:color="auto" w:fill="FFFFFF"/>
          <w:lang w:val="en-US" w:eastAsia="zh-CN"/>
        </w:rPr>
        <w:t>5</w:t>
      </w:r>
      <w:r>
        <w:rPr>
          <w:rFonts w:hint="eastAsia" w:ascii="仿宋" w:hAnsi="仿宋" w:eastAsia="仿宋" w:cs="仿宋"/>
          <w:color w:val="434343"/>
          <w:sz w:val="32"/>
          <w:szCs w:val="32"/>
          <w:shd w:val="clear" w:color="auto" w:fill="FFFFFF"/>
        </w:rPr>
        <w:t>年德安县红十字会"三公"经费一般公共预算安排1.23万元,其中:公务接待费1.23万元,比上年安排保持一致，主要原因是缩减费用开支，严格控制三公经费；因公出国（境）费0万元,与上年保持一致,主要原因是无因公出国事项。公务用车运行维护费0万元,与上年安排保持一致</w:t>
      </w:r>
      <w:r>
        <w:rPr>
          <w:rFonts w:hint="eastAsia" w:ascii="仿宋" w:hAnsi="仿宋" w:eastAsia="仿宋" w:cs="仿宋"/>
          <w:color w:val="434343"/>
          <w:sz w:val="32"/>
          <w:szCs w:val="32"/>
          <w:shd w:val="clear" w:color="auto" w:fill="FFFFFF"/>
          <w:lang w:val="en-US" w:eastAsia="zh-CN"/>
        </w:rPr>
        <w:t>,主要原因是无公务用车维护费</w:t>
      </w:r>
      <w:r>
        <w:rPr>
          <w:rFonts w:hint="eastAsia" w:ascii="仿宋" w:hAnsi="仿宋" w:eastAsia="仿宋" w:cs="仿宋"/>
          <w:color w:val="434343"/>
          <w:sz w:val="32"/>
          <w:szCs w:val="32"/>
          <w:shd w:val="clear" w:color="auto" w:fill="FFFFFF"/>
        </w:rPr>
        <w:t>；公车购置费0万元,与上年安排保持一致,主要原因是无公务用车</w:t>
      </w:r>
      <w:r>
        <w:rPr>
          <w:rFonts w:hint="eastAsia" w:ascii="仿宋" w:hAnsi="仿宋" w:eastAsia="仿宋" w:cs="仿宋"/>
          <w:color w:val="434343"/>
          <w:sz w:val="32"/>
          <w:szCs w:val="32"/>
          <w:shd w:val="clear" w:color="auto" w:fill="FFFFFF"/>
          <w:lang w:eastAsia="zh-CN"/>
        </w:rPr>
        <w:t>购置开支</w:t>
      </w:r>
      <w:r>
        <w:rPr>
          <w:rFonts w:hint="eastAsia" w:ascii="仿宋" w:hAnsi="仿宋" w:eastAsia="仿宋" w:cs="仿宋"/>
          <w:color w:val="434343"/>
          <w:sz w:val="32"/>
          <w:szCs w:val="32"/>
          <w:shd w:val="clear" w:color="auto" w:fill="FFFFFF"/>
        </w:rPr>
        <w:t>。</w:t>
      </w:r>
    </w:p>
    <w:p w14:paraId="5A74ED44">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p>
    <w:p w14:paraId="452A5F46">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p>
    <w:p w14:paraId="0BF8060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4B4939E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25E008E0">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2BC47003">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11A153B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54F2988C">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579379E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34F9A1EA">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2B752C85">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28F44F1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6D742FD6">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379D6903">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2125A8B3">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60CA8E31">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3D2FFD84">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061395BD">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10FBE469">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1D5057E2">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shd w:val="clear" w:color="auto" w:fill="FFFFFF"/>
        </w:rPr>
      </w:pPr>
    </w:p>
    <w:p w14:paraId="036CAA55">
      <w:pPr>
        <w:pStyle w:val="5"/>
        <w:widowControl/>
        <w:shd w:val="clear" w:color="auto" w:fill="FFFFFF"/>
        <w:spacing w:before="0" w:beforeAutospacing="0" w:after="0" w:afterAutospacing="0" w:line="480" w:lineRule="atLeast"/>
        <w:ind w:firstLine="480"/>
        <w:jc w:val="center"/>
        <w:rPr>
          <w:rFonts w:hint="eastAsia" w:ascii="仿宋" w:hAnsi="仿宋" w:eastAsia="仿宋" w:cs="仿宋"/>
          <w:color w:val="434343"/>
          <w:sz w:val="32"/>
          <w:szCs w:val="32"/>
        </w:rPr>
      </w:pPr>
      <w:bookmarkStart w:id="0" w:name="_GoBack"/>
      <w:bookmarkEnd w:id="0"/>
      <w:r>
        <w:rPr>
          <w:rFonts w:hint="eastAsia" w:ascii="仿宋" w:hAnsi="仿宋" w:eastAsia="仿宋" w:cs="仿宋"/>
          <w:color w:val="434343"/>
          <w:sz w:val="32"/>
          <w:szCs w:val="32"/>
          <w:shd w:val="clear" w:color="auto" w:fill="FFFFFF"/>
        </w:rPr>
        <w:t>第四部分  名词解释</w:t>
      </w:r>
    </w:p>
    <w:p w14:paraId="3AE60879">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一、收入科目 </w:t>
      </w:r>
    </w:p>
    <w:p w14:paraId="58F4B088">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（一）财政拨款：指省级财政当年拨付的资金。</w:t>
      </w:r>
    </w:p>
    <w:p w14:paraId="1ED8B054">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（二）教育收费资金收入：反映实行专项管理的高中以上学费、住宿费，高校委托培养费，函大、电大、夜大及短 训班培训费等教育收费取得的收入。 </w:t>
      </w:r>
    </w:p>
    <w:p w14:paraId="5F0D0FA3">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（三）事业收入：指事业单位开展专业业务活动及辅助 活动取得的收入。 </w:t>
      </w:r>
    </w:p>
    <w:p w14:paraId="4E79F398">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（四）事业单位经营收入：指事业单位在专业业务活动及辅助活动之外开展非独立核算经营活动取得的收入。 </w:t>
      </w:r>
    </w:p>
    <w:p w14:paraId="24F11FCE">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（五）附属单位上缴收入：反映事业单位附属的独立核算单位按规定标准或比例缴纳的各项收入。包括附属的事业单位上缴的收入和附属的企业上缴的利润等。 </w:t>
      </w:r>
    </w:p>
    <w:p w14:paraId="61473266">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（六）上级补助收入：反映事业单位从主管部门和上级单位取得的非财政补助收入。 </w:t>
      </w:r>
    </w:p>
    <w:p w14:paraId="044D768D">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（七）其他收入：指除财政拨款、事业收入、事业单位经营收入等以外的各项收入。 </w:t>
      </w:r>
    </w:p>
    <w:p w14:paraId="0800AA41">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（八）使用非财政拨款结余：填列历年滚存的非限定用途的非统计财政拨款结余弥补收支差额的数额。 </w:t>
      </w:r>
    </w:p>
    <w:p w14:paraId="0583FAD1">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（九）上年结转和结余：填列 202</w:t>
      </w:r>
      <w:r>
        <w:rPr>
          <w:rFonts w:hint="eastAsia" w:ascii="仿宋" w:hAnsi="仿宋" w:eastAsia="仿宋" w:cs="仿宋"/>
          <w:color w:val="434343"/>
          <w:sz w:val="32"/>
          <w:szCs w:val="32"/>
          <w:shd w:val="clear" w:color="auto" w:fill="FFFFFF"/>
          <w:lang w:val="en-US" w:eastAsia="zh-CN"/>
        </w:rPr>
        <w:t>4</w:t>
      </w:r>
      <w:r>
        <w:rPr>
          <w:rFonts w:hint="eastAsia" w:ascii="仿宋" w:hAnsi="仿宋" w:eastAsia="仿宋" w:cs="仿宋"/>
          <w:color w:val="434343"/>
          <w:sz w:val="32"/>
          <w:szCs w:val="32"/>
          <w:shd w:val="clear" w:color="auto" w:fill="FFFFFF"/>
        </w:rPr>
        <w:t xml:space="preserve">年全部结转和结余的资金数，包括当年结转结余资金和历年滚存结转结余资金。 </w:t>
      </w:r>
    </w:p>
    <w:p w14:paraId="5688CAC4">
      <w:pPr>
        <w:pStyle w:val="5"/>
        <w:widowControl/>
        <w:shd w:val="clear" w:color="auto" w:fill="FFFFFF"/>
        <w:spacing w:before="0" w:beforeAutospacing="0" w:after="0" w:afterAutospacing="0" w:line="480" w:lineRule="atLeast"/>
        <w:ind w:firstLine="960" w:firstLineChars="3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二、支出科目 </w:t>
      </w:r>
    </w:p>
    <w:p w14:paraId="7DEC038F">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（一）机关事业单位基本养老保险缴费支出：反映机关事业单位实施养老保险制度由单位缴纳的基本养老保险费支出。</w:t>
      </w:r>
    </w:p>
    <w:p w14:paraId="3A5AFCC3">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lang w:eastAsia="zh-CN"/>
        </w:rPr>
        <w:t>（二）行政运行：反映行政单位（包括实行公务员管理的事业单位）的基本支出。</w:t>
      </w:r>
    </w:p>
    <w:p w14:paraId="3DBADF56">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lang w:eastAsia="zh-CN"/>
        </w:rPr>
        <w:t>（三）其他红十字事业支出</w:t>
      </w:r>
      <w:r>
        <w:rPr>
          <w:rFonts w:hint="eastAsia" w:ascii="仿宋" w:hAnsi="仿宋" w:eastAsia="仿宋" w:cs="仿宋"/>
          <w:color w:val="434343"/>
          <w:sz w:val="32"/>
          <w:szCs w:val="32"/>
          <w:shd w:val="clear" w:color="auto" w:fill="FFFFFF"/>
        </w:rPr>
        <w:t>：反映</w:t>
      </w:r>
      <w:r>
        <w:rPr>
          <w:rFonts w:hint="eastAsia" w:ascii="仿宋" w:hAnsi="仿宋" w:eastAsia="仿宋" w:cs="仿宋"/>
          <w:color w:val="434343"/>
          <w:sz w:val="32"/>
          <w:szCs w:val="32"/>
          <w:shd w:val="clear" w:color="auto" w:fill="FFFFFF"/>
          <w:lang w:eastAsia="zh-CN"/>
        </w:rPr>
        <w:t>除上述项目以外其他用于红十字事业方面的支出。</w:t>
      </w:r>
    </w:p>
    <w:p w14:paraId="66E084CA">
      <w:pPr>
        <w:pStyle w:val="5"/>
        <w:widowControl/>
        <w:shd w:val="clear" w:color="auto" w:fill="FFFFFF"/>
        <w:spacing w:before="0" w:beforeAutospacing="0" w:after="0" w:afterAutospacing="0" w:line="480" w:lineRule="atLeast"/>
        <w:ind w:left="0" w:leftChars="0" w:firstLine="928" w:firstLineChars="29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lang w:val="en-US" w:eastAsia="zh-CN"/>
        </w:rPr>
        <w:t>(四）</w:t>
      </w:r>
      <w:r>
        <w:rPr>
          <w:rFonts w:hint="eastAsia" w:ascii="仿宋" w:hAnsi="仿宋" w:eastAsia="仿宋" w:cs="仿宋"/>
          <w:color w:val="434343"/>
          <w:sz w:val="32"/>
          <w:szCs w:val="32"/>
          <w:shd w:val="clear" w:color="auto" w:fill="FFFFFF"/>
          <w:lang w:eastAsia="zh-CN"/>
        </w:rPr>
        <w:t>其他</w:t>
      </w:r>
      <w:r>
        <w:rPr>
          <w:rFonts w:hint="eastAsia" w:ascii="仿宋" w:hAnsi="仿宋" w:eastAsia="仿宋" w:cs="仿宋"/>
          <w:color w:val="434343"/>
          <w:sz w:val="32"/>
          <w:szCs w:val="32"/>
          <w:shd w:val="clear" w:color="auto" w:fill="FFFFFF"/>
        </w:rPr>
        <w:t>行政事业单位医疗支出：</w:t>
      </w:r>
      <w:r>
        <w:rPr>
          <w:rFonts w:hint="eastAsia" w:ascii="仿宋" w:hAnsi="仿宋" w:eastAsia="仿宋" w:cs="仿宋"/>
          <w:color w:val="434343"/>
          <w:sz w:val="32"/>
          <w:szCs w:val="32"/>
          <w:shd w:val="clear" w:color="auto" w:fill="FFFFFF"/>
          <w:lang w:eastAsia="zh-CN"/>
        </w:rPr>
        <w:t>反映除上述项目以外的其他用于行政事业单位医疗方面的支出。</w:t>
      </w:r>
    </w:p>
    <w:p w14:paraId="1A6E521D">
      <w:pPr>
        <w:pStyle w:val="5"/>
        <w:widowControl/>
        <w:numPr>
          <w:ilvl w:val="0"/>
          <w:numId w:val="0"/>
        </w:numPr>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lang w:eastAsia="zh-CN"/>
        </w:rPr>
        <w:t>（五）</w:t>
      </w:r>
      <w:r>
        <w:rPr>
          <w:rFonts w:hint="eastAsia" w:ascii="仿宋" w:hAnsi="仿宋" w:eastAsia="仿宋" w:cs="仿宋"/>
          <w:color w:val="434343"/>
          <w:sz w:val="32"/>
          <w:szCs w:val="32"/>
          <w:shd w:val="clear" w:color="auto" w:fill="FFFFFF"/>
        </w:rPr>
        <w:t>住房公积金：反映行政事业单位按人力资源和社会保障部、财政部规定的基本工资和津补贴以及规定比例为职工缴纳的住房公积金。</w:t>
      </w:r>
    </w:p>
    <w:p w14:paraId="0D152BE2">
      <w:pPr>
        <w:pStyle w:val="5"/>
        <w:widowControl/>
        <w:shd w:val="clear" w:color="auto" w:fill="FFFFFF"/>
        <w:spacing w:before="0" w:beforeAutospacing="0" w:after="0" w:afterAutospacing="0" w:line="480" w:lineRule="atLeast"/>
        <w:ind w:firstLine="960" w:firstLineChars="3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三、相关专业名词 </w:t>
      </w:r>
    </w:p>
    <w:p w14:paraId="485C7FAF">
      <w:pPr>
        <w:pStyle w:val="5"/>
        <w:widowControl/>
        <w:shd w:val="clear" w:color="auto" w:fill="FFFFFF"/>
        <w:spacing w:before="0" w:beforeAutospacing="0" w:after="0" w:afterAutospacing="0" w:line="480" w:lineRule="atLeast"/>
        <w:ind w:firstLine="640" w:firstLineChars="2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 xml:space="preserve">（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 </w:t>
      </w:r>
    </w:p>
    <w:p w14:paraId="434DDA7B">
      <w:pPr>
        <w:pStyle w:val="5"/>
        <w:widowControl/>
        <w:shd w:val="clear" w:color="auto" w:fill="FFFFFF"/>
        <w:spacing w:before="0" w:beforeAutospacing="0" w:after="0" w:afterAutospacing="0" w:line="480" w:lineRule="atLeast"/>
        <w:ind w:firstLine="960" w:firstLineChars="300"/>
        <w:rPr>
          <w:rFonts w:hint="eastAsia" w:ascii="仿宋" w:hAnsi="仿宋" w:eastAsia="仿宋" w:cs="仿宋"/>
          <w:color w:val="434343"/>
          <w:sz w:val="32"/>
          <w:szCs w:val="32"/>
          <w:shd w:val="clear" w:color="auto" w:fill="FFFFFF"/>
        </w:rPr>
      </w:pPr>
      <w:r>
        <w:rPr>
          <w:rFonts w:hint="eastAsia" w:ascii="仿宋" w:hAnsi="仿宋" w:eastAsia="仿宋" w:cs="仿宋"/>
          <w:color w:val="434343"/>
          <w:sz w:val="32"/>
          <w:szCs w:val="32"/>
          <w:shd w:val="clear" w:color="auto" w:fill="FFFFFF"/>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D811701">
      <w:pPr>
        <w:pStyle w:val="5"/>
        <w:widowControl/>
        <w:shd w:val="clear" w:color="auto" w:fill="FFFFFF"/>
        <w:spacing w:before="0" w:beforeAutospacing="0" w:after="0" w:afterAutospacing="0" w:line="480" w:lineRule="atLeast"/>
        <w:ind w:firstLine="645"/>
        <w:rPr>
          <w:rFonts w:hint="eastAsia" w:ascii="仿宋" w:hAnsi="仿宋" w:eastAsia="仿宋" w:cs="仿宋"/>
          <w:color w:val="434343"/>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FC065"/>
    <w:multiLevelType w:val="singleLevel"/>
    <w:tmpl w:val="836FC065"/>
    <w:lvl w:ilvl="0" w:tentative="0">
      <w:start w:val="1"/>
      <w:numFmt w:val="decimal"/>
      <w:suff w:val="nothing"/>
      <w:lvlText w:val="%1）"/>
      <w:lvlJc w:val="left"/>
    </w:lvl>
  </w:abstractNum>
  <w:abstractNum w:abstractNumId="1">
    <w:nsid w:val="C62E9C5C"/>
    <w:multiLevelType w:val="singleLevel"/>
    <w:tmpl w:val="C62E9C5C"/>
    <w:lvl w:ilvl="0" w:tentative="0">
      <w:start w:val="1"/>
      <w:numFmt w:val="chineseCounting"/>
      <w:suff w:val="nothing"/>
      <w:lvlText w:val="%1、"/>
      <w:lvlJc w:val="left"/>
      <w:rPr>
        <w:rFonts w:hint="eastAsia"/>
      </w:rPr>
    </w:lvl>
  </w:abstractNum>
  <w:abstractNum w:abstractNumId="2">
    <w:nsid w:val="E4AA1911"/>
    <w:multiLevelType w:val="singleLevel"/>
    <w:tmpl w:val="E4AA191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2QzYmE5MjlhYjMyYmY4MjRhNjA3MmIxMDZlY2UifQ=="/>
  </w:docVars>
  <w:rsids>
    <w:rsidRoot w:val="00172A27"/>
    <w:rsid w:val="00014296"/>
    <w:rsid w:val="00021D32"/>
    <w:rsid w:val="00173A3C"/>
    <w:rsid w:val="001F791E"/>
    <w:rsid w:val="002477BB"/>
    <w:rsid w:val="002719F7"/>
    <w:rsid w:val="003A3BEE"/>
    <w:rsid w:val="003F70D3"/>
    <w:rsid w:val="004C378D"/>
    <w:rsid w:val="004D0480"/>
    <w:rsid w:val="004F2919"/>
    <w:rsid w:val="004F5A7E"/>
    <w:rsid w:val="005A4DBE"/>
    <w:rsid w:val="005D3E89"/>
    <w:rsid w:val="00763438"/>
    <w:rsid w:val="00864735"/>
    <w:rsid w:val="00865DE6"/>
    <w:rsid w:val="008F6ACF"/>
    <w:rsid w:val="00916E41"/>
    <w:rsid w:val="00977823"/>
    <w:rsid w:val="00A52589"/>
    <w:rsid w:val="00B52F85"/>
    <w:rsid w:val="00CF7E77"/>
    <w:rsid w:val="00E920BE"/>
    <w:rsid w:val="00F275CF"/>
    <w:rsid w:val="065D125A"/>
    <w:rsid w:val="1B030979"/>
    <w:rsid w:val="1C236FFB"/>
    <w:rsid w:val="2CB04571"/>
    <w:rsid w:val="2EAD7E64"/>
    <w:rsid w:val="3D6164E3"/>
    <w:rsid w:val="434C0F69"/>
    <w:rsid w:val="45560358"/>
    <w:rsid w:val="472C219C"/>
    <w:rsid w:val="476F0E95"/>
    <w:rsid w:val="4C020DCF"/>
    <w:rsid w:val="4D087132"/>
    <w:rsid w:val="52445C3D"/>
    <w:rsid w:val="54722318"/>
    <w:rsid w:val="59AB1CE0"/>
    <w:rsid w:val="5DFB5D0E"/>
    <w:rsid w:val="6051380B"/>
    <w:rsid w:val="62111CEF"/>
    <w:rsid w:val="64762171"/>
    <w:rsid w:val="65CE2877"/>
    <w:rsid w:val="665C704D"/>
    <w:rsid w:val="66FD2647"/>
    <w:rsid w:val="75BA39BE"/>
    <w:rsid w:val="77E8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8"/>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正文文本 Char"/>
    <w:basedOn w:val="7"/>
    <w:link w:val="2"/>
    <w:qFormat/>
    <w:uiPriority w:val="0"/>
    <w:rPr>
      <w:rFonts w:ascii="仿宋" w:hAnsi="仿宋" w:eastAsia="仿宋" w:cs="仿宋"/>
      <w:snapToGrid w:val="0"/>
      <w:color w:val="000000"/>
      <w:sz w:val="31"/>
      <w:szCs w:val="31"/>
      <w:lang w:eastAsia="en-US"/>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页眉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22</Pages>
  <Words>4066</Words>
  <Characters>4299</Characters>
  <Lines>30</Lines>
  <Paragraphs>8</Paragraphs>
  <TotalTime>11</TotalTime>
  <ScaleCrop>false</ScaleCrop>
  <LinksUpToDate>false</LinksUpToDate>
  <CharactersWithSpaces>4325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2024-03-28T07:33:00Z</dcterms:created>
  <dc:creator>好单纯好不做作的咸鱼</dc:creator>
  <cp:lastModifiedBy>Administrator</cp:lastModifiedBy>
  <dcterms:modified xsi:type="dcterms:W3CDTF">2025-02-12T00:44:30Z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815E8EDBF8AE4CC1BE6CD8FAEA07B8A6_13</vt:lpwstr>
  </property>
  <property fmtid="{D5CDD505-2E9C-101B-9397-08002B2CF9AE}" pid="4" name="KSOTemplateDocerSaveRecord">
    <vt:lpwstr>eyJoZGlkIjoiNGYxY2M1YzNhNmIwNzRjNTM3NmVlODExZjU5OTVjODgifQ==</vt:lpwstr>
  </property>
</Properties>
</file>