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9B64">
      <w:pPr>
        <w:keepNext w:val="0"/>
        <w:keepLines w:val="0"/>
        <w:pageBreakBefore w:val="0"/>
        <w:widowControl w:val="0"/>
        <w:overflowPunct/>
        <w:bidi w:val="0"/>
        <w:spacing w:line="1000" w:lineRule="exact"/>
        <w:jc w:val="right"/>
        <w:rPr>
          <w:rFonts w:hint="default" w:ascii="黑体" w:hAnsi="黑体" w:eastAsia="黑体"/>
          <w:sz w:val="32"/>
          <w:szCs w:val="32"/>
          <w:lang w:val="en-US" w:eastAsia="zh-CN"/>
        </w:rPr>
      </w:pPr>
    </w:p>
    <w:p w14:paraId="181D2F55">
      <w:pPr>
        <w:keepNext w:val="0"/>
        <w:keepLines w:val="0"/>
        <w:pageBreakBefore w:val="0"/>
        <w:widowControl w:val="0"/>
        <w:overflowPunct/>
        <w:bidi w:val="0"/>
        <w:jc w:val="distribute"/>
        <w:rPr>
          <w:rFonts w:hint="eastAsia" w:eastAsia="方正大标宋简体" w:cs="方正大标宋简体"/>
          <w:color w:val="FF0000"/>
          <w:spacing w:val="-12"/>
          <w:w w:val="75"/>
          <w:sz w:val="96"/>
          <w:szCs w:val="96"/>
          <w:lang w:val="en-US" w:eastAsia="zh-CN"/>
        </w:rPr>
      </w:pPr>
      <w:r>
        <w:rPr>
          <w:rFonts w:hint="eastAsia" w:eastAsia="方正大标宋简体" w:cs="方正大标宋简体"/>
          <w:color w:val="FF0000"/>
          <w:spacing w:val="-12"/>
          <w:w w:val="75"/>
          <w:sz w:val="96"/>
          <w:szCs w:val="96"/>
          <w:lang w:val="en-US" w:eastAsia="zh-CN"/>
        </w:rPr>
        <w:t>德安县人民政府办公室文件</w:t>
      </w:r>
    </w:p>
    <w:p w14:paraId="2172A579">
      <w:pPr>
        <w:keepNext w:val="0"/>
        <w:keepLines w:val="0"/>
        <w:pageBreakBefore w:val="0"/>
        <w:widowControl w:val="0"/>
        <w:overflowPunct/>
        <w:bidi w:val="0"/>
        <w:jc w:val="center"/>
        <w:rPr>
          <w:rFonts w:hint="default" w:ascii="Times New Roman" w:hAnsi="Times New Roman" w:eastAsia="仿宋" w:cs="Times New Roman"/>
          <w:color w:val="000000"/>
          <w:sz w:val="32"/>
          <w:szCs w:val="32"/>
        </w:rPr>
      </w:pPr>
    </w:p>
    <w:p w14:paraId="33D412B8">
      <w:pPr>
        <w:keepNext w:val="0"/>
        <w:keepLines w:val="0"/>
        <w:pageBreakBefore w:val="0"/>
        <w:widowControl w:val="0"/>
        <w:overflowPunct/>
        <w:bidi w:val="0"/>
        <w:jc w:val="center"/>
        <w:rPr>
          <w:rFonts w:hint="default" w:ascii="Times New Roman" w:hAnsi="Times New Roman" w:eastAsia="仿宋" w:cs="Times New Roman"/>
          <w:color w:val="000000"/>
          <w:sz w:val="32"/>
          <w:szCs w:val="32"/>
        </w:rPr>
      </w:pPr>
    </w:p>
    <w:p w14:paraId="69ED0625">
      <w:pPr>
        <w:keepNext w:val="0"/>
        <w:keepLines w:val="0"/>
        <w:pageBreakBefore w:val="0"/>
        <w:widowControl w:val="0"/>
        <w:overflowPunct/>
        <w:bidi w:val="0"/>
        <w:jc w:val="center"/>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德府办字〔202</w:t>
      </w:r>
      <w:r>
        <w:rPr>
          <w:rFonts w:hint="eastAsia"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val="en-US" w:eastAsia="zh-CN"/>
        </w:rPr>
        <w:t>72号</w:t>
      </w:r>
    </w:p>
    <w:p w14:paraId="3BA62FE0">
      <w:pPr>
        <w:keepNext w:val="0"/>
        <w:keepLines w:val="0"/>
        <w:pageBreakBefore w:val="0"/>
        <w:widowControl w:val="0"/>
        <w:overflowPunct/>
        <w:bidi w:val="0"/>
        <w:spacing w:line="600" w:lineRule="exact"/>
        <w:jc w:val="center"/>
        <w:rPr>
          <w:rFonts w:hint="eastAsia"/>
          <w:b/>
          <w:bCs/>
          <w:color w:val="000000"/>
          <w:sz w:val="44"/>
          <w:szCs w:val="44"/>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86360</wp:posOffset>
                </wp:positionV>
                <wp:extent cx="5856605" cy="0"/>
                <wp:effectExtent l="0" t="12700" r="10795" b="15875"/>
                <wp:wrapNone/>
                <wp:docPr id="16" name="直接连接符 16"/>
                <wp:cNvGraphicFramePr/>
                <a:graphic xmlns:a="http://schemas.openxmlformats.org/drawingml/2006/main">
                  <a:graphicData uri="http://schemas.microsoft.com/office/word/2010/wordprocessingShape">
                    <wps:wsp>
                      <wps:cNvCnPr/>
                      <wps:spPr>
                        <a:xfrm>
                          <a:off x="0" y="0"/>
                          <a:ext cx="5856605"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2pt;margin-top:6.8pt;height:0pt;width:461.15pt;z-index:251660288;mso-width-relative:page;mso-height-relative:page;" filled="f" stroked="t" coordsize="21600,21600" o:gfxdata="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KR0S1wAAAAkBAAAPAAAAAAAAAAEAIAAAACIAAABkcnMvZG93bnJl&#10;di54bWxQSwECFAAUAAAACACHTuJAhhsynv4BAAD1AwAADgAAAAAAAAABACAAAAAmAQAAZHJzL2Uy&#10;b0RvYy54bWxQSwUGAAAAAAYABgBZAQAAlgUAAAAA&#10;">
                <v:fill on="f" focussize="0,0"/>
                <v:stroke weight="2pt" color="#FF0000" joinstyle="round"/>
                <v:imagedata o:title=""/>
                <o:lock v:ext="edit" aspectratio="f"/>
              </v:line>
            </w:pict>
          </mc:Fallback>
        </mc:AlternateContent>
      </w:r>
    </w:p>
    <w:p w14:paraId="438AEE0B">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方正小标宋简体" w:hAnsi="方正小标宋简体" w:eastAsia="方正小标宋简体" w:cs="方正小标宋简体"/>
          <w:color w:val="auto"/>
          <w:spacing w:val="0"/>
          <w:sz w:val="44"/>
          <w:szCs w:val="44"/>
          <w:lang w:val="en-US" w:eastAsia="zh-CN"/>
        </w:rPr>
      </w:pPr>
    </w:p>
    <w:p w14:paraId="1D1A61B7">
      <w:pPr>
        <w:keepNext w:val="0"/>
        <w:keepLines w:val="0"/>
        <w:pageBreakBefore w:val="0"/>
        <w:widowControl w:val="0"/>
        <w:kinsoku/>
        <w:wordWrap/>
        <w:overflowPunct/>
        <w:topLinePunct w:val="0"/>
        <w:autoSpaceDE/>
        <w:autoSpaceDN/>
        <w:bidi w:val="0"/>
        <w:adjustRightInd/>
        <w:spacing w:line="600" w:lineRule="exact"/>
        <w:ind w:right="0"/>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德安县人民政府办公室</w:t>
      </w:r>
      <w:bookmarkStart w:id="0" w:name="_GoBack"/>
      <w:r>
        <w:rPr>
          <w:rFonts w:hint="eastAsia" w:ascii="方正小标宋简体" w:hAnsi="方正小标宋简体" w:eastAsia="方正小标宋简体" w:cs="方正小标宋简体"/>
          <w:color w:val="auto"/>
          <w:spacing w:val="0"/>
          <w:sz w:val="44"/>
          <w:szCs w:val="44"/>
          <w:lang w:val="en-US" w:eastAsia="zh-CN"/>
        </w:rPr>
        <w:t>关于印发</w:t>
      </w:r>
      <w:r>
        <w:rPr>
          <w:rFonts w:hint="eastAsia" w:ascii="方正小标宋简体" w:hAnsi="方正小标宋简体" w:eastAsia="方正小标宋简体" w:cs="方正小标宋简体"/>
          <w:b w:val="0"/>
          <w:bCs w:val="0"/>
          <w:color w:val="auto"/>
          <w:spacing w:val="0"/>
          <w:sz w:val="44"/>
          <w:szCs w:val="44"/>
        </w:rPr>
        <w:t>德安县数字化项目建设管理办法（试行）</w:t>
      </w:r>
      <w:r>
        <w:rPr>
          <w:rFonts w:hint="eastAsia" w:ascii="方正小标宋简体" w:hAnsi="方正小标宋简体" w:eastAsia="方正小标宋简体" w:cs="方正小标宋简体"/>
          <w:color w:val="auto"/>
          <w:spacing w:val="0"/>
          <w:sz w:val="44"/>
          <w:szCs w:val="44"/>
          <w:lang w:val="en-US" w:eastAsia="zh-CN"/>
        </w:rPr>
        <w:t>的通知</w:t>
      </w:r>
      <w:bookmarkEnd w:id="0"/>
    </w:p>
    <w:p w14:paraId="258C95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p>
    <w:p w14:paraId="260F06B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各乡（镇）人民政府，县政府有关部门，县直有关单位：</w:t>
      </w:r>
    </w:p>
    <w:p w14:paraId="48AE71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default" w:ascii="仿宋_GB2312" w:hAnsi="仿宋_GB2312" w:eastAsia="仿宋_GB2312" w:cs="仿宋_GB2312"/>
          <w:color w:val="auto"/>
          <w:spacing w:val="0"/>
          <w:sz w:val="32"/>
          <w:szCs w:val="32"/>
          <w:lang w:val="en-US" w:eastAsia="zh-CN"/>
        </w:rPr>
        <w:t>现将《</w:t>
      </w:r>
      <w:r>
        <w:rPr>
          <w:rFonts w:hint="eastAsia" w:ascii="仿宋_GB2312" w:hAnsi="仿宋_GB2312" w:eastAsia="仿宋_GB2312" w:cs="仿宋_GB2312"/>
          <w:color w:val="auto"/>
          <w:spacing w:val="0"/>
          <w:sz w:val="32"/>
          <w:szCs w:val="32"/>
          <w:lang w:val="en-US" w:eastAsia="zh-CN"/>
        </w:rPr>
        <w:t>德安县数字化项目建设管理办法（试行）</w:t>
      </w:r>
      <w:r>
        <w:rPr>
          <w:rFonts w:hint="default" w:ascii="仿宋_GB2312" w:hAnsi="仿宋_GB2312" w:eastAsia="仿宋_GB2312" w:cs="仿宋_GB2312"/>
          <w:color w:val="auto"/>
          <w:spacing w:val="0"/>
          <w:sz w:val="32"/>
          <w:szCs w:val="32"/>
          <w:lang w:val="en-US" w:eastAsia="zh-CN"/>
        </w:rPr>
        <w:t>》印发给你们，请</w:t>
      </w:r>
      <w:r>
        <w:rPr>
          <w:rFonts w:hint="eastAsia" w:ascii="仿宋_GB2312" w:hAnsi="仿宋_GB2312" w:eastAsia="仿宋_GB2312" w:cs="仿宋_GB2312"/>
          <w:color w:val="auto"/>
          <w:spacing w:val="0"/>
          <w:sz w:val="32"/>
          <w:szCs w:val="32"/>
          <w:lang w:val="en-US" w:eastAsia="zh-CN"/>
        </w:rPr>
        <w:t>按照方案</w:t>
      </w:r>
      <w:r>
        <w:rPr>
          <w:rFonts w:hint="default" w:ascii="仿宋_GB2312" w:hAnsi="仿宋_GB2312" w:eastAsia="仿宋_GB2312" w:cs="仿宋_GB2312"/>
          <w:color w:val="auto"/>
          <w:spacing w:val="0"/>
          <w:sz w:val="32"/>
          <w:szCs w:val="32"/>
          <w:lang w:val="en-US" w:eastAsia="zh-CN"/>
        </w:rPr>
        <w:t>结合实际认真抓好落实</w:t>
      </w:r>
      <w:r>
        <w:rPr>
          <w:rFonts w:hint="eastAsia" w:ascii="仿宋_GB2312" w:hAnsi="仿宋_GB2312" w:eastAsia="仿宋_GB2312" w:cs="仿宋_GB2312"/>
          <w:color w:val="auto"/>
          <w:spacing w:val="0"/>
          <w:sz w:val="32"/>
          <w:szCs w:val="32"/>
          <w:lang w:val="en-US" w:eastAsia="zh-CN"/>
        </w:rPr>
        <w:t>。</w:t>
      </w:r>
    </w:p>
    <w:p w14:paraId="463FD861">
      <w:pPr>
        <w:keepNext w:val="0"/>
        <w:keepLines w:val="0"/>
        <w:pageBreakBefore w:val="0"/>
        <w:widowControl w:val="0"/>
        <w:numPr>
          <w:ilvl w:val="0"/>
          <w:numId w:val="0"/>
        </w:numPr>
        <w:tabs>
          <w:tab w:val="left" w:pos="6065"/>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p>
    <w:p w14:paraId="40AA6E8A">
      <w:pPr>
        <w:keepNext w:val="0"/>
        <w:keepLines w:val="0"/>
        <w:pageBreakBefore w:val="0"/>
        <w:widowControl w:val="0"/>
        <w:numPr>
          <w:ilvl w:val="0"/>
          <w:numId w:val="0"/>
        </w:numPr>
        <w:tabs>
          <w:tab w:val="left" w:pos="6065"/>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p>
    <w:p w14:paraId="3A3B090B">
      <w:pPr>
        <w:keepNext w:val="0"/>
        <w:keepLines w:val="0"/>
        <w:pageBreakBefore w:val="0"/>
        <w:widowControl w:val="0"/>
        <w:numPr>
          <w:ilvl w:val="0"/>
          <w:numId w:val="0"/>
        </w:numPr>
        <w:tabs>
          <w:tab w:val="left" w:pos="6065"/>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p>
    <w:p w14:paraId="5EB90256">
      <w:pPr>
        <w:keepNext w:val="0"/>
        <w:keepLines w:val="0"/>
        <w:pageBreakBefore w:val="0"/>
        <w:widowControl w:val="0"/>
        <w:numPr>
          <w:ilvl w:val="0"/>
          <w:numId w:val="0"/>
        </w:numPr>
        <w:tabs>
          <w:tab w:val="left" w:pos="6065"/>
        </w:tabs>
        <w:kinsoku/>
        <w:wordWrap w:val="0"/>
        <w:overflowPunct/>
        <w:topLinePunct w:val="0"/>
        <w:autoSpaceDE/>
        <w:autoSpaceDN/>
        <w:bidi w:val="0"/>
        <w:adjustRightInd/>
        <w:snapToGrid/>
        <w:spacing w:line="600" w:lineRule="exact"/>
        <w:ind w:firstLine="4800" w:firstLineChars="1500"/>
        <w:jc w:val="right"/>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2024年11月27日        </w:t>
      </w:r>
    </w:p>
    <w:p w14:paraId="7C0DF5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（此件主动公开）</w:t>
      </w:r>
    </w:p>
    <w:p w14:paraId="22A49FF9">
      <w:pPr>
        <w:keepNext w:val="0"/>
        <w:keepLines w:val="0"/>
        <w:pageBreakBefore w:val="0"/>
        <w:widowControl w:val="0"/>
        <w:overflowPunct/>
        <w:topLinePunct w:val="0"/>
        <w:bidi w:val="0"/>
        <w:spacing w:line="600" w:lineRule="exact"/>
        <w:jc w:val="center"/>
        <w:rPr>
          <w:rFonts w:hint="eastAsia" w:ascii="方正小标宋简体" w:hAnsi="方正小标宋简体" w:eastAsia="方正小标宋简体" w:cs="方正小标宋简体"/>
          <w:color w:val="auto"/>
          <w:sz w:val="44"/>
          <w:szCs w:val="44"/>
          <w:lang w:val="en-US" w:eastAsia="zh-CN"/>
        </w:rPr>
      </w:pPr>
    </w:p>
    <w:p w14:paraId="37605726">
      <w:pPr>
        <w:keepNext w:val="0"/>
        <w:keepLines w:val="0"/>
        <w:pageBreakBefore w:val="0"/>
        <w:widowControl w:val="0"/>
        <w:overflowPunct/>
        <w:topLinePunct w:val="0"/>
        <w:bidi w:val="0"/>
        <w:spacing w:line="600" w:lineRule="exact"/>
        <w:jc w:val="center"/>
        <w:rPr>
          <w:rFonts w:hint="eastAsia" w:ascii="方正小标宋简体" w:hAnsi="方正小标宋简体" w:eastAsia="方正小标宋简体" w:cs="方正小标宋简体"/>
          <w:color w:val="auto"/>
          <w:sz w:val="44"/>
          <w:szCs w:val="44"/>
          <w:lang w:val="en-US" w:eastAsia="zh-CN"/>
        </w:rPr>
      </w:pPr>
    </w:p>
    <w:p w14:paraId="3D5E2A18">
      <w:pPr>
        <w:keepNext w:val="0"/>
        <w:keepLines w:val="0"/>
        <w:pageBreakBefore w:val="0"/>
        <w:widowControl w:val="0"/>
        <w:overflowPunct/>
        <w:topLinePunct w:val="0"/>
        <w:bidi w:val="0"/>
        <w:spacing w:line="600" w:lineRule="exact"/>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sz w:val="44"/>
          <w:szCs w:val="44"/>
          <w:lang w:val="en-US" w:eastAsia="zh-CN"/>
        </w:rPr>
        <w:t>德安县</w:t>
      </w:r>
      <w:r>
        <w:rPr>
          <w:rFonts w:hint="eastAsia" w:ascii="方正小标宋简体" w:hAnsi="方正小标宋简体" w:eastAsia="方正小标宋简体" w:cs="方正小标宋简体"/>
          <w:color w:val="auto"/>
          <w:sz w:val="44"/>
          <w:szCs w:val="44"/>
        </w:rPr>
        <w:t>数字化项目建设管理办法（试行）</w:t>
      </w:r>
    </w:p>
    <w:p w14:paraId="76E82E1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66408347">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第一章  总  则</w:t>
      </w:r>
    </w:p>
    <w:p w14:paraId="136407BF">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color w:val="auto"/>
          <w:sz w:val="32"/>
          <w:szCs w:val="32"/>
        </w:rPr>
      </w:pPr>
    </w:p>
    <w:p w14:paraId="25907B2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第一条</w:t>
      </w:r>
      <w:r>
        <w:rPr>
          <w:rFonts w:hint="eastAsia" w:ascii="仿宋" w:hAnsi="仿宋" w:eastAsia="仿宋" w:cs="仿宋"/>
          <w:color w:val="auto"/>
          <w:sz w:val="32"/>
          <w:szCs w:val="32"/>
        </w:rPr>
        <w:t xml:space="preserve">  为进一步规范全</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数字化项目建设管理，提高财政性资金使用效益，推动数字化项目统筹集约建设、系统跨部门跨层级互联互通、数据共享和业务协同，依据《国务院办公厅关于印发国家政务信息化项目建设管理办法的通知》（国办发〔2019〕57号）、《江西省人民政府关于印发江西省数字政府建设总体方案的通知》（赣府发〔2023〕8号）、《江西省人民政府办公厅关于印发江西省数字化项目建设管理办法的通知》（赣府厅发〔2023〕12号），</w:t>
      </w:r>
      <w:r>
        <w:rPr>
          <w:rFonts w:hint="eastAsia" w:ascii="仿宋" w:hAnsi="仿宋" w:eastAsia="仿宋" w:cs="仿宋"/>
          <w:color w:val="auto"/>
          <w:sz w:val="32"/>
          <w:szCs w:val="32"/>
          <w:lang w:eastAsia="zh-CN"/>
        </w:rPr>
        <w:t>《九江市人民政府办公室关于印发九江市数字化项目建设管理办法（试行）的通知》（九府办发〔2024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8号），</w:t>
      </w:r>
      <w:r>
        <w:rPr>
          <w:rFonts w:hint="eastAsia" w:ascii="仿宋" w:hAnsi="仿宋" w:eastAsia="仿宋" w:cs="仿宋"/>
          <w:color w:val="auto"/>
          <w:sz w:val="32"/>
          <w:szCs w:val="32"/>
        </w:rPr>
        <w:t>结合我</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实际，制定本办法。</w:t>
      </w:r>
    </w:p>
    <w:p w14:paraId="4313C83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第二条</w:t>
      </w:r>
      <w:r>
        <w:rPr>
          <w:rFonts w:hint="eastAsia" w:ascii="仿宋" w:hAnsi="仿宋" w:eastAsia="仿宋" w:cs="仿宋"/>
          <w:color w:val="auto"/>
          <w:sz w:val="32"/>
          <w:szCs w:val="32"/>
        </w:rPr>
        <w:t xml:space="preserve">  本办法适用于全</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各级行政机关以及法律法规授权的具有管理公共事务职能的组织等使用财政性资金建设、运维、购买服务的数字化项目及</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属国资监管企业投资建设的数字化项目，主要包括：电子政务网络平台、重点业务数字化系统、数据系统、数据资源库、信息安全基础设施、电子政务基础设施（政务云、数据中心等）、数字政府标准化体系以及相关支撑体系等符合《政务信息系统定义和范围》（GB/T40692-2021）规定的项目。</w:t>
      </w:r>
    </w:p>
    <w:p w14:paraId="3E33BCD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第三条</w:t>
      </w:r>
      <w:r>
        <w:rPr>
          <w:rFonts w:hint="eastAsia" w:ascii="仿宋" w:hAnsi="仿宋" w:eastAsia="仿宋" w:cs="仿宋"/>
          <w:color w:val="auto"/>
          <w:sz w:val="32"/>
          <w:szCs w:val="32"/>
        </w:rPr>
        <w:t xml:space="preserve">  数字化项目建设应当符合“五统一”，即统一顶层架构、统一数字底座、统一技术标准、统一共性应用、统一运维运营。不符合“五统一”项目建设要求的平台或系统，原则上不得自建、自管、自用、自维。</w:t>
      </w:r>
    </w:p>
    <w:p w14:paraId="278D012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第四条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县推进政府职能转变和数字政府建设部门联席会议（以下简称“县部门联席会议”）</w:t>
      </w:r>
      <w:r>
        <w:rPr>
          <w:rFonts w:hint="eastAsia" w:ascii="仿宋" w:hAnsi="仿宋" w:eastAsia="仿宋" w:cs="仿宋"/>
          <w:color w:val="auto"/>
          <w:sz w:val="32"/>
          <w:szCs w:val="32"/>
        </w:rPr>
        <w:t>负责全</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数字化项目的统筹管理，</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政府办</w:t>
      </w:r>
      <w:r>
        <w:rPr>
          <w:rFonts w:hint="eastAsia" w:ascii="仿宋" w:hAnsi="仿宋" w:eastAsia="仿宋" w:cs="仿宋"/>
          <w:color w:val="auto"/>
          <w:sz w:val="32"/>
          <w:szCs w:val="32"/>
          <w:lang w:eastAsia="zh-CN"/>
        </w:rPr>
        <w:t>（县数据局）</w:t>
      </w:r>
      <w:r>
        <w:rPr>
          <w:rFonts w:hint="eastAsia" w:ascii="仿宋" w:hAnsi="仿宋" w:eastAsia="仿宋" w:cs="仿宋"/>
          <w:color w:val="auto"/>
          <w:sz w:val="32"/>
          <w:szCs w:val="32"/>
        </w:rPr>
        <w:t>具体负责全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数字化项目的统筹规划、综合协调和监督管理工作。</w:t>
      </w:r>
    </w:p>
    <w:p w14:paraId="23513AA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第五条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按照机构改革确定的职责，负责数字化项目的</w:t>
      </w:r>
      <w:r>
        <w:rPr>
          <w:rFonts w:hint="eastAsia" w:ascii="仿宋" w:hAnsi="仿宋" w:eastAsia="仿宋" w:cs="仿宋"/>
          <w:color w:val="auto"/>
          <w:sz w:val="32"/>
          <w:szCs w:val="32"/>
          <w:lang w:val="en-US" w:eastAsia="zh-CN"/>
        </w:rPr>
        <w:t>统筹</w:t>
      </w:r>
      <w:r>
        <w:rPr>
          <w:rFonts w:hint="eastAsia" w:ascii="仿宋" w:hAnsi="仿宋" w:eastAsia="仿宋" w:cs="仿宋"/>
          <w:color w:val="auto"/>
          <w:sz w:val="32"/>
          <w:szCs w:val="32"/>
        </w:rPr>
        <w:t>规划、论证</w:t>
      </w:r>
      <w:r>
        <w:rPr>
          <w:rFonts w:hint="eastAsia" w:ascii="仿宋" w:hAnsi="仿宋" w:eastAsia="仿宋" w:cs="仿宋"/>
          <w:color w:val="auto"/>
          <w:sz w:val="32"/>
          <w:szCs w:val="32"/>
          <w:lang w:val="en-US" w:eastAsia="zh-CN"/>
        </w:rPr>
        <w:t>评估</w:t>
      </w:r>
      <w:r>
        <w:rPr>
          <w:rFonts w:hint="eastAsia" w:ascii="仿宋" w:hAnsi="仿宋" w:eastAsia="仿宋" w:cs="仿宋"/>
          <w:color w:val="auto"/>
          <w:sz w:val="32"/>
          <w:szCs w:val="32"/>
        </w:rPr>
        <w:t>、技术评审、竣工验收、</w:t>
      </w:r>
      <w:r>
        <w:rPr>
          <w:rFonts w:hint="eastAsia" w:ascii="仿宋" w:hAnsi="仿宋" w:eastAsia="仿宋" w:cs="仿宋"/>
          <w:color w:val="auto"/>
          <w:sz w:val="32"/>
          <w:szCs w:val="32"/>
          <w:lang w:val="en-US" w:eastAsia="zh-CN"/>
        </w:rPr>
        <w:t>监督管理</w:t>
      </w:r>
      <w:r>
        <w:rPr>
          <w:rFonts w:hint="eastAsia" w:ascii="仿宋" w:hAnsi="仿宋" w:eastAsia="仿宋" w:cs="仿宋"/>
          <w:color w:val="auto"/>
          <w:sz w:val="32"/>
          <w:szCs w:val="32"/>
        </w:rPr>
        <w:t>等工作；会同有关部门建立数字化项目联合会审机制，协调解决有关问题，开展督促检查和评估评价。</w:t>
      </w:r>
    </w:p>
    <w:p w14:paraId="6BA6C31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委保密机要局负责数字化项目的保密审查，指导、监督和检查数字化项目的保密管理；负责数字化项目密码应用及安全性评估的指导、监督和检查；负责数字化项目应用安全可靠产品的指导、监督和检查；负责电子政务内网及相关数字政府系统的管理工作。</w:t>
      </w:r>
    </w:p>
    <w:p w14:paraId="2310381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委网信办负责对数字化项目的网络安全建设进行审查评估和监督管理。</w:t>
      </w:r>
    </w:p>
    <w:p w14:paraId="6C46331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发改委负责</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财政出资建设数字化项目的审批工作。</w:t>
      </w:r>
    </w:p>
    <w:p w14:paraId="6BEE068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财政局负责</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级政府投资数字化项目建设、运维保障、购买服务等资金筹集和拨付，组织开展</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w:t>
      </w:r>
      <w:r>
        <w:rPr>
          <w:rFonts w:hint="eastAsia" w:ascii="仿宋" w:hAnsi="仿宋" w:eastAsia="仿宋" w:cs="仿宋"/>
          <w:color w:val="auto"/>
          <w:sz w:val="32"/>
          <w:szCs w:val="32"/>
          <w:lang w:eastAsia="zh-CN"/>
        </w:rPr>
        <w:t>和县属国资监管企业</w:t>
      </w:r>
      <w:r>
        <w:rPr>
          <w:rFonts w:hint="eastAsia" w:ascii="仿宋" w:hAnsi="仿宋" w:eastAsia="仿宋" w:cs="仿宋"/>
          <w:color w:val="auto"/>
          <w:sz w:val="32"/>
          <w:szCs w:val="32"/>
        </w:rPr>
        <w:t>出资建设项目的财政投资评审，对本级财政资金</w:t>
      </w:r>
      <w:r>
        <w:rPr>
          <w:rFonts w:hint="eastAsia" w:ascii="仿宋" w:hAnsi="仿宋" w:eastAsia="仿宋" w:cs="仿宋"/>
          <w:color w:val="auto"/>
          <w:sz w:val="32"/>
          <w:szCs w:val="32"/>
          <w:lang w:eastAsia="zh-CN"/>
        </w:rPr>
        <w:t>和县属国资</w:t>
      </w:r>
      <w:r>
        <w:rPr>
          <w:rFonts w:hint="eastAsia" w:ascii="仿宋" w:hAnsi="仿宋" w:eastAsia="仿宋" w:cs="仿宋"/>
          <w:color w:val="auto"/>
          <w:sz w:val="32"/>
          <w:szCs w:val="32"/>
        </w:rPr>
        <w:t>进行监管，指导督促项目业主单位实施事前绩效评估等全过程预算绩效管理工作，根据需要开展财政重点绩效评价。</w:t>
      </w:r>
    </w:p>
    <w:p w14:paraId="5066828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公安局负责数字化项目网络安全等级保护和关键信息基础设施安全保护的指导、监督和检查。</w:t>
      </w:r>
    </w:p>
    <w:p w14:paraId="2A17A1E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审计局负责对数字化项目进行审计监督。</w:t>
      </w:r>
    </w:p>
    <w:p w14:paraId="76750E3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县档案馆</w:t>
      </w:r>
      <w:r>
        <w:rPr>
          <w:rFonts w:hint="eastAsia" w:ascii="仿宋" w:hAnsi="仿宋" w:eastAsia="仿宋" w:cs="仿宋"/>
          <w:color w:val="auto"/>
          <w:sz w:val="32"/>
          <w:szCs w:val="32"/>
        </w:rPr>
        <w:t>负责数字化项目档案的指导、监督。</w:t>
      </w:r>
    </w:p>
    <w:p w14:paraId="4B43ABA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第六条</w:t>
      </w:r>
      <w:r>
        <w:rPr>
          <w:rFonts w:hint="eastAsia" w:ascii="仿宋" w:hAnsi="仿宋" w:eastAsia="仿宋" w:cs="仿宋"/>
          <w:color w:val="auto"/>
          <w:sz w:val="32"/>
          <w:szCs w:val="32"/>
        </w:rPr>
        <w:t xml:space="preserve">  项目应用单位负责数字化项目申报及应用，配合项目业主单位做好项目报批、实施、验收、绩效评价等工作。项目业主单位负责项目的报批、实施、运维，保障项目安全稳定运行，对项目资金使用实施全过程预算绩效管理。</w:t>
      </w:r>
    </w:p>
    <w:p w14:paraId="71DDECC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第七条</w:t>
      </w:r>
      <w:r>
        <w:rPr>
          <w:rFonts w:hint="eastAsia" w:ascii="仿宋" w:hAnsi="仿宋" w:eastAsia="仿宋" w:cs="仿宋"/>
          <w:color w:val="auto"/>
          <w:sz w:val="32"/>
          <w:szCs w:val="32"/>
        </w:rPr>
        <w:t xml:space="preserve">  涉密数字化项目申报、审批、实施和运维按照国家有关保密规定执行。</w:t>
      </w:r>
    </w:p>
    <w:p w14:paraId="4854479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lang w:eastAsia="zh-CN"/>
        </w:rPr>
      </w:pPr>
      <w:r>
        <w:rPr>
          <w:rFonts w:hint="eastAsia" w:ascii="黑体" w:hAnsi="黑体" w:eastAsia="黑体" w:cs="黑体"/>
          <w:color w:val="auto"/>
          <w:sz w:val="32"/>
          <w:szCs w:val="32"/>
        </w:rPr>
        <w:t>第八条</w:t>
      </w:r>
      <w:r>
        <w:rPr>
          <w:rFonts w:hint="eastAsia" w:ascii="仿宋" w:hAnsi="仿宋" w:eastAsia="仿宋" w:cs="仿宋"/>
          <w:color w:val="auto"/>
          <w:sz w:val="32"/>
          <w:szCs w:val="32"/>
        </w:rPr>
        <w:t xml:space="preserve">  政务云建设管理按照《</w:t>
      </w:r>
      <w:r>
        <w:rPr>
          <w:rFonts w:hint="eastAsia" w:ascii="仿宋" w:hAnsi="仿宋" w:eastAsia="仿宋" w:cs="仿宋"/>
          <w:color w:val="auto"/>
          <w:sz w:val="32"/>
          <w:szCs w:val="32"/>
          <w:lang w:val="en-US" w:eastAsia="zh-CN"/>
        </w:rPr>
        <w:t>九江市</w:t>
      </w:r>
      <w:r>
        <w:rPr>
          <w:rFonts w:hint="eastAsia" w:ascii="仿宋" w:hAnsi="仿宋" w:eastAsia="仿宋" w:cs="仿宋"/>
          <w:color w:val="auto"/>
          <w:sz w:val="32"/>
          <w:szCs w:val="32"/>
        </w:rPr>
        <w:t>政务云服务管理办法》（九府办发〔2019〕19号）执行。</w:t>
      </w:r>
    </w:p>
    <w:p w14:paraId="01FA945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第九条</w:t>
      </w:r>
      <w:r>
        <w:rPr>
          <w:rFonts w:hint="eastAsia" w:ascii="仿宋" w:hAnsi="仿宋" w:eastAsia="仿宋" w:cs="仿宋"/>
          <w:color w:val="auto"/>
          <w:sz w:val="32"/>
          <w:szCs w:val="32"/>
        </w:rPr>
        <w:t xml:space="preserve">  各</w:t>
      </w:r>
      <w:r>
        <w:rPr>
          <w:rFonts w:hint="eastAsia" w:ascii="仿宋" w:hAnsi="仿宋" w:eastAsia="仿宋" w:cs="仿宋"/>
          <w:color w:val="auto"/>
          <w:sz w:val="32"/>
          <w:szCs w:val="32"/>
          <w:lang w:val="en-US" w:eastAsia="zh-CN"/>
        </w:rPr>
        <w:t>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镇</w:t>
      </w:r>
      <w:r>
        <w:rPr>
          <w:rFonts w:hint="eastAsia" w:ascii="仿宋" w:hAnsi="仿宋" w:eastAsia="仿宋" w:cs="仿宋"/>
          <w:color w:val="auto"/>
          <w:sz w:val="32"/>
          <w:szCs w:val="32"/>
        </w:rPr>
        <w:t>）参照</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级做法负责本</w:t>
      </w:r>
      <w:r>
        <w:rPr>
          <w:rFonts w:hint="eastAsia" w:ascii="仿宋" w:hAnsi="仿宋" w:eastAsia="仿宋" w:cs="仿宋"/>
          <w:color w:val="auto"/>
          <w:sz w:val="32"/>
          <w:szCs w:val="32"/>
          <w:lang w:val="en-US" w:eastAsia="zh-CN"/>
        </w:rPr>
        <w:t>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镇</w:t>
      </w:r>
      <w:r>
        <w:rPr>
          <w:rFonts w:hint="eastAsia" w:ascii="仿宋" w:hAnsi="仿宋" w:eastAsia="仿宋" w:cs="仿宋"/>
          <w:color w:val="auto"/>
          <w:sz w:val="32"/>
          <w:szCs w:val="32"/>
        </w:rPr>
        <w:t>）数字化项目管理。</w:t>
      </w:r>
    </w:p>
    <w:p w14:paraId="3DD6FFC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76613BB8">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第二章  统筹规划</w:t>
      </w:r>
    </w:p>
    <w:p w14:paraId="1679D28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59053B1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第十条</w:t>
      </w:r>
      <w:r>
        <w:rPr>
          <w:rFonts w:hint="eastAsia" w:ascii="仿宋" w:hAnsi="仿宋" w:eastAsia="仿宋" w:cs="仿宋"/>
          <w:color w:val="auto"/>
          <w:sz w:val="32"/>
          <w:szCs w:val="32"/>
        </w:rPr>
        <w:t xml:space="preserve">  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数字化项目建设遵循统筹规划、需求引领、共享协同、安全可靠的原则，依托</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级</w:t>
      </w:r>
      <w:r>
        <w:rPr>
          <w:rFonts w:hint="eastAsia" w:ascii="仿宋" w:hAnsi="仿宋" w:eastAsia="仿宋" w:cs="仿宋"/>
          <w:color w:val="auto"/>
          <w:sz w:val="32"/>
          <w:szCs w:val="32"/>
          <w:lang w:val="en-US" w:eastAsia="zh-CN"/>
        </w:rPr>
        <w:t>或县级</w:t>
      </w:r>
      <w:r>
        <w:rPr>
          <w:rFonts w:hint="eastAsia" w:ascii="仿宋" w:hAnsi="仿宋" w:eastAsia="仿宋" w:cs="仿宋"/>
          <w:color w:val="auto"/>
          <w:sz w:val="32"/>
          <w:szCs w:val="32"/>
        </w:rPr>
        <w:t>统建的政务云、电子政务外网或内网、政务数据共享交换平台、公共支撑平台、密码服务支撑体系等开展集约化建设，原则上按照“一部门一系统”“一</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一平台”要求，加快平台系统整合对接。</w:t>
      </w:r>
    </w:p>
    <w:p w14:paraId="5759B4D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第十一条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县政府办（县</w:t>
      </w:r>
      <w:r>
        <w:rPr>
          <w:rFonts w:hint="eastAsia" w:ascii="仿宋" w:hAnsi="仿宋" w:eastAsia="仿宋" w:cs="仿宋"/>
          <w:color w:val="auto"/>
          <w:sz w:val="32"/>
          <w:szCs w:val="32"/>
        </w:rPr>
        <w:t>数</w:t>
      </w:r>
      <w:r>
        <w:rPr>
          <w:rFonts w:hint="eastAsia" w:ascii="仿宋" w:hAnsi="仿宋" w:eastAsia="仿宋" w:cs="仿宋"/>
          <w:color w:val="auto"/>
          <w:sz w:val="32"/>
          <w:szCs w:val="32"/>
          <w:lang w:eastAsia="zh-CN"/>
        </w:rPr>
        <w:t>据局）</w:t>
      </w:r>
      <w:r>
        <w:rPr>
          <w:rFonts w:hint="eastAsia" w:ascii="仿宋" w:hAnsi="仿宋" w:eastAsia="仿宋" w:cs="仿宋"/>
          <w:color w:val="auto"/>
          <w:sz w:val="32"/>
          <w:szCs w:val="32"/>
        </w:rPr>
        <w:t>建立</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数字化项目储备库，实行动态管理，在每年5月</w:t>
      </w:r>
      <w:r>
        <w:rPr>
          <w:rFonts w:hint="eastAsia" w:ascii="仿宋" w:hAnsi="仿宋" w:eastAsia="仿宋" w:cs="仿宋"/>
          <w:color w:val="auto"/>
          <w:sz w:val="32"/>
          <w:szCs w:val="32"/>
          <w:lang w:val="en-US" w:eastAsia="zh-CN"/>
        </w:rPr>
        <w:t>中旬</w:t>
      </w:r>
      <w:r>
        <w:rPr>
          <w:rFonts w:hint="eastAsia" w:ascii="仿宋" w:hAnsi="仿宋" w:eastAsia="仿宋" w:cs="仿宋"/>
          <w:color w:val="auto"/>
          <w:sz w:val="32"/>
          <w:szCs w:val="32"/>
        </w:rPr>
        <w:t>前向</w:t>
      </w:r>
      <w:r>
        <w:rPr>
          <w:rFonts w:hint="eastAsia" w:ascii="仿宋" w:hAnsi="仿宋" w:eastAsia="仿宋" w:cs="仿宋"/>
          <w:color w:val="auto"/>
          <w:sz w:val="32"/>
          <w:szCs w:val="32"/>
          <w:lang w:eastAsia="zh-CN"/>
        </w:rPr>
        <w:t>各乡（镇）、</w:t>
      </w:r>
      <w:r>
        <w:rPr>
          <w:rFonts w:hint="eastAsia" w:ascii="仿宋" w:hAnsi="仿宋" w:eastAsia="仿宋" w:cs="仿宋"/>
          <w:color w:val="auto"/>
          <w:sz w:val="32"/>
          <w:szCs w:val="32"/>
        </w:rPr>
        <w:t>各部门征集一定时间内的数字化项目建设需求，经论证评估并报</w:t>
      </w:r>
      <w:r>
        <w:rPr>
          <w:rFonts w:hint="eastAsia" w:ascii="仿宋" w:hAnsi="仿宋" w:eastAsia="仿宋" w:cs="仿宋"/>
          <w:color w:val="auto"/>
          <w:sz w:val="32"/>
          <w:szCs w:val="32"/>
          <w:lang w:eastAsia="zh-CN"/>
        </w:rPr>
        <w:t>县部门联席会议</w:t>
      </w:r>
      <w:r>
        <w:rPr>
          <w:rFonts w:hint="eastAsia" w:ascii="仿宋" w:hAnsi="仿宋" w:eastAsia="仿宋" w:cs="仿宋"/>
          <w:color w:val="auto"/>
          <w:sz w:val="32"/>
          <w:szCs w:val="32"/>
        </w:rPr>
        <w:t>审定后纳入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数字化项目储备库（两年有效）。纳入省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数字政府建设规划的项目优先纳入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数字化项目储备库。建设目标、主要内容、技术路线等相似的项目不得拆分申报。</w:t>
      </w:r>
    </w:p>
    <w:p w14:paraId="0A90AE1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rPr>
        <w:t xml:space="preserve">  投资额在</w:t>
      </w:r>
      <w:r>
        <w:rPr>
          <w:rFonts w:hint="eastAsia" w:ascii="仿宋" w:hAnsi="仿宋" w:eastAsia="仿宋" w:cs="仿宋"/>
          <w:color w:val="auto"/>
          <w:sz w:val="32"/>
          <w:szCs w:val="32"/>
          <w:lang w:val="en-US" w:eastAsia="zh-CN"/>
        </w:rPr>
        <w:t>50万元以上</w:t>
      </w:r>
      <w:r>
        <w:rPr>
          <w:rFonts w:hint="eastAsia" w:ascii="仿宋" w:hAnsi="仿宋" w:eastAsia="仿宋" w:cs="仿宋"/>
          <w:color w:val="auto"/>
          <w:sz w:val="32"/>
          <w:szCs w:val="32"/>
        </w:rPr>
        <w:t>的数字化项目（不含运维类项目）由各</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统筹把关后，在每年5月</w:t>
      </w:r>
      <w:r>
        <w:rPr>
          <w:rFonts w:hint="eastAsia" w:ascii="仿宋" w:hAnsi="仿宋" w:eastAsia="仿宋" w:cs="仿宋"/>
          <w:color w:val="auto"/>
          <w:sz w:val="32"/>
          <w:szCs w:val="32"/>
          <w:lang w:val="en-US" w:eastAsia="zh-CN"/>
        </w:rPr>
        <w:t>中旬</w:t>
      </w:r>
      <w:r>
        <w:rPr>
          <w:rFonts w:hint="eastAsia" w:ascii="仿宋" w:hAnsi="仿宋" w:eastAsia="仿宋" w:cs="仿宋"/>
          <w:color w:val="auto"/>
          <w:sz w:val="32"/>
          <w:szCs w:val="32"/>
        </w:rPr>
        <w:t>前报</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汇总，经论证评估并报</w:t>
      </w:r>
      <w:r>
        <w:rPr>
          <w:rFonts w:hint="eastAsia" w:ascii="仿宋" w:hAnsi="仿宋" w:eastAsia="仿宋" w:cs="仿宋"/>
          <w:color w:val="auto"/>
          <w:sz w:val="32"/>
          <w:szCs w:val="32"/>
          <w:lang w:eastAsia="zh-CN"/>
        </w:rPr>
        <w:t>县部门联席会议</w:t>
      </w:r>
      <w:r>
        <w:rPr>
          <w:rFonts w:hint="eastAsia" w:ascii="仿宋" w:hAnsi="仿宋" w:eastAsia="仿宋" w:cs="仿宋"/>
          <w:color w:val="auto"/>
          <w:sz w:val="32"/>
          <w:szCs w:val="32"/>
        </w:rPr>
        <w:t>审定后纳入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数字化项目储备库。</w:t>
      </w:r>
    </w:p>
    <w:p w14:paraId="363D050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第十三条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投资</w:t>
      </w:r>
      <w:r>
        <w:rPr>
          <w:rFonts w:hint="eastAsia" w:ascii="仿宋" w:hAnsi="仿宋" w:eastAsia="仿宋" w:cs="仿宋"/>
          <w:color w:val="auto"/>
          <w:sz w:val="32"/>
          <w:szCs w:val="32"/>
        </w:rPr>
        <w:t>额</w:t>
      </w:r>
      <w:r>
        <w:rPr>
          <w:rFonts w:hint="eastAsia" w:ascii="仿宋" w:hAnsi="仿宋" w:eastAsia="仿宋" w:cs="仿宋"/>
          <w:color w:val="auto"/>
          <w:sz w:val="32"/>
          <w:szCs w:val="32"/>
          <w:lang w:val="en-US" w:eastAsia="zh-CN"/>
        </w:rPr>
        <w:t>在</w:t>
      </w:r>
      <w:r>
        <w:rPr>
          <w:rFonts w:hint="eastAsia" w:ascii="仿宋" w:hAnsi="仿宋" w:eastAsia="仿宋" w:cs="仿宋"/>
          <w:color w:val="auto"/>
          <w:sz w:val="32"/>
          <w:szCs w:val="32"/>
        </w:rPr>
        <w:t>200万元以</w:t>
      </w:r>
      <w:r>
        <w:rPr>
          <w:rFonts w:hint="eastAsia" w:ascii="仿宋" w:hAnsi="仿宋" w:eastAsia="仿宋" w:cs="仿宋"/>
          <w:color w:val="auto"/>
          <w:sz w:val="32"/>
          <w:szCs w:val="32"/>
          <w:lang w:val="en-US" w:eastAsia="zh-CN"/>
        </w:rPr>
        <w:t>上</w:t>
      </w:r>
      <w:r>
        <w:rPr>
          <w:rFonts w:hint="eastAsia" w:ascii="仿宋" w:hAnsi="仿宋" w:eastAsia="仿宋" w:cs="仿宋"/>
          <w:color w:val="auto"/>
          <w:sz w:val="32"/>
          <w:szCs w:val="32"/>
        </w:rPr>
        <w:t>（不包括运维）</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数字化项目</w:t>
      </w:r>
      <w:r>
        <w:rPr>
          <w:rFonts w:hint="eastAsia" w:ascii="仿宋" w:hAnsi="仿宋" w:eastAsia="仿宋" w:cs="仿宋"/>
          <w:color w:val="auto"/>
          <w:sz w:val="32"/>
          <w:szCs w:val="32"/>
          <w:lang w:val="en-US" w:eastAsia="zh-CN"/>
        </w:rPr>
        <w:t>经县部门联席会议</w:t>
      </w:r>
      <w:r>
        <w:rPr>
          <w:rFonts w:hint="eastAsia" w:ascii="仿宋" w:hAnsi="仿宋" w:eastAsia="仿宋" w:cs="仿宋"/>
          <w:color w:val="auto"/>
          <w:sz w:val="32"/>
          <w:szCs w:val="32"/>
        </w:rPr>
        <w:t>统筹把关后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需</w:t>
      </w:r>
      <w:r>
        <w:rPr>
          <w:rFonts w:hint="eastAsia" w:ascii="仿宋" w:hAnsi="仿宋" w:eastAsia="仿宋" w:cs="仿宋"/>
          <w:color w:val="auto"/>
          <w:sz w:val="32"/>
          <w:szCs w:val="32"/>
        </w:rPr>
        <w:t>按程序</w:t>
      </w:r>
      <w:r>
        <w:rPr>
          <w:rFonts w:hint="eastAsia" w:ascii="仿宋" w:hAnsi="仿宋" w:eastAsia="仿宋" w:cs="仿宋"/>
          <w:color w:val="auto"/>
          <w:sz w:val="32"/>
          <w:szCs w:val="32"/>
          <w:lang w:val="en-US" w:eastAsia="zh-CN"/>
        </w:rPr>
        <w:t>报送并通过</w:t>
      </w:r>
      <w:r>
        <w:rPr>
          <w:rFonts w:hint="eastAsia" w:ascii="仿宋" w:hAnsi="仿宋" w:eastAsia="仿宋" w:cs="仿宋"/>
          <w:color w:val="auto"/>
          <w:sz w:val="32"/>
          <w:szCs w:val="32"/>
        </w:rPr>
        <w:t>市级论证评估后方可申报年度建设计划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投资额在1000万元以上的基础设施类、跨部门跨层级集成类项目和投资额在500万元以上（不包括运维）的其他类别数字化项目</w:t>
      </w:r>
      <w:r>
        <w:rPr>
          <w:rFonts w:hint="eastAsia" w:ascii="仿宋" w:hAnsi="仿宋" w:eastAsia="仿宋" w:cs="仿宋"/>
          <w:color w:val="auto"/>
          <w:sz w:val="32"/>
          <w:szCs w:val="32"/>
          <w:lang w:val="en-US" w:eastAsia="zh-CN"/>
        </w:rPr>
        <w:t>经县部门联席会议</w:t>
      </w:r>
      <w:r>
        <w:rPr>
          <w:rFonts w:hint="eastAsia" w:ascii="仿宋" w:hAnsi="仿宋" w:eastAsia="仿宋" w:cs="仿宋"/>
          <w:color w:val="auto"/>
          <w:sz w:val="32"/>
          <w:szCs w:val="32"/>
        </w:rPr>
        <w:t>统筹把关后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需</w:t>
      </w:r>
      <w:r>
        <w:rPr>
          <w:rFonts w:hint="eastAsia" w:ascii="仿宋" w:hAnsi="仿宋" w:eastAsia="仿宋" w:cs="仿宋"/>
          <w:color w:val="auto"/>
          <w:sz w:val="32"/>
          <w:szCs w:val="32"/>
        </w:rPr>
        <w:t>按程序</w:t>
      </w:r>
      <w:r>
        <w:rPr>
          <w:rFonts w:hint="eastAsia" w:ascii="仿宋" w:hAnsi="仿宋" w:eastAsia="仿宋" w:cs="仿宋"/>
          <w:color w:val="auto"/>
          <w:sz w:val="32"/>
          <w:szCs w:val="32"/>
          <w:lang w:val="en-US" w:eastAsia="zh-CN"/>
        </w:rPr>
        <w:t>分别报送并通过市</w:t>
      </w:r>
      <w:r>
        <w:rPr>
          <w:rFonts w:hint="eastAsia" w:ascii="仿宋" w:hAnsi="仿宋" w:eastAsia="仿宋" w:cs="仿宋"/>
          <w:color w:val="auto"/>
          <w:sz w:val="32"/>
          <w:szCs w:val="32"/>
        </w:rPr>
        <w:t>级</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省级论证评估后方可申报年度建设计划。</w:t>
      </w:r>
    </w:p>
    <w:p w14:paraId="613DCB0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xml:space="preserve">  坚持“省级主建，</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县主用”的原则，严格控制单独新建数字化项目。</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级建设的数字化软件系统原则上不得与上级已建及拟建系统存在重复建设。县级及以下以用为主，承接使用省</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部署的各类应用系统，有条件的可探索建设县域特色应用场景。新建数字化项目在充分征求上级主管部门意见后方可启动实施。</w:t>
      </w:r>
    </w:p>
    <w:p w14:paraId="5DA47FA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非涉密的电子政务网络平台、电子政务基础设施、公共数据系统、公共支撑平台（人工智能平台、区块链平台、物联网平台、视频汇聚共享平台等）、公共业务端口（政务网站群、“赣服通”“赣政通”“赣企通”等）及跨部门跨层级公共数字化项目由</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负责建设和管理。</w:t>
      </w:r>
    </w:p>
    <w:p w14:paraId="74FE1E8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4C921D82">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第三章  项目申报</w:t>
      </w:r>
    </w:p>
    <w:p w14:paraId="2C36EB5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3B2902B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rPr>
        <w:t xml:space="preserve">  各</w:t>
      </w:r>
      <w:r>
        <w:rPr>
          <w:rFonts w:hint="eastAsia" w:ascii="仿宋" w:hAnsi="仿宋" w:eastAsia="仿宋" w:cs="仿宋"/>
          <w:color w:val="auto"/>
          <w:sz w:val="32"/>
          <w:szCs w:val="32"/>
          <w:lang w:eastAsia="zh-CN"/>
        </w:rPr>
        <w:t>乡（镇）</w:t>
      </w:r>
      <w:r>
        <w:rPr>
          <w:rFonts w:hint="eastAsia" w:ascii="仿宋" w:hAnsi="仿宋" w:eastAsia="仿宋" w:cs="仿宋"/>
          <w:color w:val="auto"/>
          <w:sz w:val="32"/>
          <w:szCs w:val="32"/>
        </w:rPr>
        <w:t>、各部门新建、改建、扩建、迁移、购买</w:t>
      </w:r>
      <w:r>
        <w:rPr>
          <w:rFonts w:hint="eastAsia" w:ascii="仿宋" w:hAnsi="仿宋" w:eastAsia="仿宋" w:cs="仿宋"/>
          <w:color w:val="auto"/>
          <w:sz w:val="32"/>
          <w:szCs w:val="32"/>
          <w:lang w:eastAsia="zh-CN"/>
        </w:rPr>
        <w:t>服务</w:t>
      </w:r>
      <w:r>
        <w:rPr>
          <w:rFonts w:hint="eastAsia" w:ascii="仿宋" w:hAnsi="仿宋" w:eastAsia="仿宋" w:cs="仿宋"/>
          <w:color w:val="auto"/>
          <w:sz w:val="32"/>
          <w:szCs w:val="32"/>
        </w:rPr>
        <w:t>的数字化项目均需申报，不得未批先建（实施）。</w:t>
      </w:r>
    </w:p>
    <w:p w14:paraId="0C819E7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第十七条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于每年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中旬</w:t>
      </w:r>
      <w:r>
        <w:rPr>
          <w:rFonts w:hint="eastAsia" w:ascii="仿宋" w:hAnsi="仿宋" w:eastAsia="仿宋" w:cs="仿宋"/>
          <w:color w:val="auto"/>
          <w:sz w:val="32"/>
          <w:szCs w:val="32"/>
        </w:rPr>
        <w:t>前组织下一年度项目申报。各</w:t>
      </w:r>
      <w:r>
        <w:rPr>
          <w:rFonts w:hint="eastAsia" w:ascii="仿宋" w:hAnsi="仿宋" w:eastAsia="仿宋" w:cs="仿宋"/>
          <w:color w:val="auto"/>
          <w:sz w:val="32"/>
          <w:szCs w:val="32"/>
          <w:lang w:eastAsia="zh-CN"/>
        </w:rPr>
        <w:t>乡（镇）</w:t>
      </w:r>
      <w:r>
        <w:rPr>
          <w:rFonts w:hint="eastAsia" w:ascii="仿宋" w:hAnsi="仿宋" w:eastAsia="仿宋" w:cs="仿宋"/>
          <w:color w:val="auto"/>
          <w:sz w:val="32"/>
          <w:szCs w:val="32"/>
        </w:rPr>
        <w:t>、各部门按照申报要求及工作需要，报送本地、本部门拟实施的数字化项目，提交项目申报材料。除国家、省级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市级</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委、</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政府重大部署外，原则上不再受理未纳入项目储备库的项目申报。</w:t>
      </w:r>
    </w:p>
    <w:p w14:paraId="2066E96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各</w:t>
      </w:r>
      <w:r>
        <w:rPr>
          <w:rFonts w:hint="eastAsia" w:ascii="仿宋" w:hAnsi="仿宋" w:eastAsia="仿宋" w:cs="仿宋"/>
          <w:color w:val="auto"/>
          <w:sz w:val="32"/>
          <w:szCs w:val="32"/>
          <w:lang w:eastAsia="zh-CN"/>
        </w:rPr>
        <w:t>乡（镇）</w:t>
      </w:r>
      <w:r>
        <w:rPr>
          <w:rFonts w:hint="eastAsia" w:ascii="仿宋" w:hAnsi="仿宋" w:eastAsia="仿宋" w:cs="仿宋"/>
          <w:color w:val="auto"/>
          <w:sz w:val="32"/>
          <w:szCs w:val="32"/>
        </w:rPr>
        <w:t>、各部门申报的项目应经党委（党组）会议研究</w:t>
      </w:r>
      <w:r>
        <w:rPr>
          <w:rFonts w:hint="eastAsia" w:ascii="仿宋" w:hAnsi="仿宋" w:eastAsia="仿宋" w:cs="仿宋"/>
          <w:color w:val="auto"/>
          <w:sz w:val="32"/>
          <w:szCs w:val="32"/>
          <w:lang w:val="en-US" w:eastAsia="zh-CN"/>
        </w:rPr>
        <w:t>通过并经分管县领导审核</w:t>
      </w:r>
      <w:r>
        <w:rPr>
          <w:rFonts w:hint="eastAsia" w:ascii="仿宋" w:hAnsi="仿宋" w:eastAsia="仿宋" w:cs="仿宋"/>
          <w:color w:val="auto"/>
          <w:sz w:val="32"/>
          <w:szCs w:val="32"/>
        </w:rPr>
        <w:t>同意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明确资金来源。</w:t>
      </w:r>
    </w:p>
    <w:p w14:paraId="737C700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项目申报应深入开展调查研究，广泛征集意见，在征求项目所在领域主管部门、使用对象、服务对象等意见基础上，编制项目初步技术方案。</w:t>
      </w:r>
    </w:p>
    <w:p w14:paraId="75432FB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第十八条</w:t>
      </w:r>
      <w:r>
        <w:rPr>
          <w:rFonts w:hint="eastAsia" w:ascii="仿宋" w:hAnsi="仿宋" w:eastAsia="仿宋" w:cs="仿宋"/>
          <w:color w:val="auto"/>
          <w:sz w:val="32"/>
          <w:szCs w:val="32"/>
        </w:rPr>
        <w:t xml:space="preserve">  项目申报材料主要包括下列内容：</w:t>
      </w:r>
    </w:p>
    <w:p w14:paraId="2061087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（一）基本情况。包括项目名称、项目应用单位、主要任务、建设地点、建设时间、项目建设依据和必要性、项目绩效目标、拟采用实施方式及主要原因等。</w:t>
      </w:r>
    </w:p>
    <w:p w14:paraId="2C5912F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二）初步技术方案。建设类项目提交项目技术方案，需包含建设内容、集约化建设（列出需要统一纳入公共项目的建设需求）、政务云资源需求清单、数据资源共享分析、系统及数据安全防护、等级保护、密码应用、软硬件产品的安全可靠情况等内容，涉及工作秘密的需包含信息防护内容。涉密数字化项目需同步提交分级保护建设方案，购买服务类项目需提交实施方案。</w:t>
      </w:r>
    </w:p>
    <w:p w14:paraId="7AAC3FE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（三）资金说明。提出项目筹资方案，并提供三家以上厂商的项目报价。</w:t>
      </w:r>
    </w:p>
    <w:p w14:paraId="2886013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第十九条</w:t>
      </w:r>
      <w:r>
        <w:rPr>
          <w:rFonts w:hint="eastAsia" w:ascii="仿宋" w:hAnsi="仿宋" w:eastAsia="仿宋" w:cs="仿宋"/>
          <w:color w:val="auto"/>
          <w:sz w:val="32"/>
          <w:szCs w:val="32"/>
        </w:rPr>
        <w:t xml:space="preserve">  建立</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级数字化项目联合会审机制，基于申报单位提交的建设项目申报材料，</w:t>
      </w:r>
      <w:r>
        <w:rPr>
          <w:rFonts w:hint="eastAsia" w:ascii="仿宋" w:hAnsi="仿宋" w:eastAsia="仿宋" w:cs="仿宋"/>
          <w:color w:val="auto"/>
          <w:sz w:val="32"/>
          <w:szCs w:val="32"/>
          <w:lang w:eastAsia="zh-CN"/>
        </w:rPr>
        <w:t>县部门联席会议</w:t>
      </w:r>
      <w:r>
        <w:rPr>
          <w:rFonts w:hint="eastAsia" w:ascii="仿宋" w:hAnsi="仿宋" w:eastAsia="仿宋" w:cs="仿宋"/>
          <w:color w:val="auto"/>
          <w:sz w:val="32"/>
          <w:szCs w:val="32"/>
          <w:lang w:val="en-US" w:eastAsia="zh-CN"/>
        </w:rPr>
        <w:t>办公室</w:t>
      </w:r>
      <w:r>
        <w:rPr>
          <w:rFonts w:hint="eastAsia" w:ascii="仿宋" w:hAnsi="仿宋" w:eastAsia="仿宋" w:cs="仿宋"/>
          <w:color w:val="auto"/>
          <w:sz w:val="32"/>
          <w:szCs w:val="32"/>
        </w:rPr>
        <w:t>对项目建设必要性、急迫性进行初步</w:t>
      </w:r>
      <w:r>
        <w:rPr>
          <w:rFonts w:hint="eastAsia" w:ascii="仿宋" w:hAnsi="仿宋" w:eastAsia="仿宋" w:cs="仿宋"/>
          <w:color w:val="auto"/>
          <w:sz w:val="32"/>
          <w:szCs w:val="32"/>
          <w:lang w:val="en-US" w:eastAsia="zh-CN"/>
        </w:rPr>
        <w:t>论证评估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由</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发改委、</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财政局会同有关部门对通过初步论证的项目进行会审，形成联合会审意见，提出项目建设计划、资金安排、项目业主、建设时序建议报</w:t>
      </w:r>
      <w:r>
        <w:rPr>
          <w:rFonts w:hint="eastAsia" w:ascii="仿宋" w:hAnsi="仿宋" w:eastAsia="仿宋" w:cs="仿宋"/>
          <w:color w:val="auto"/>
          <w:sz w:val="32"/>
          <w:szCs w:val="32"/>
          <w:lang w:eastAsia="zh-CN"/>
        </w:rPr>
        <w:t>县部门联席会议</w:t>
      </w:r>
      <w:r>
        <w:rPr>
          <w:rFonts w:hint="eastAsia" w:ascii="仿宋" w:hAnsi="仿宋" w:eastAsia="仿宋" w:cs="仿宋"/>
          <w:color w:val="auto"/>
          <w:sz w:val="32"/>
          <w:szCs w:val="32"/>
        </w:rPr>
        <w:t>审定。未通过初步论证的项目不得提交联合会审，不予审批，不安排项目资金。</w:t>
      </w:r>
    </w:p>
    <w:p w14:paraId="32291CB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第二十条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投资额在</w:t>
      </w:r>
      <w:r>
        <w:rPr>
          <w:rFonts w:hint="eastAsia" w:ascii="仿宋" w:hAnsi="仿宋" w:eastAsia="仿宋" w:cs="仿宋"/>
          <w:color w:val="auto"/>
          <w:sz w:val="32"/>
          <w:szCs w:val="32"/>
          <w:lang w:val="en-US" w:eastAsia="zh-CN"/>
        </w:rPr>
        <w:t>50</w:t>
      </w:r>
      <w:r>
        <w:rPr>
          <w:rFonts w:hint="eastAsia" w:ascii="仿宋" w:hAnsi="仿宋" w:eastAsia="仿宋" w:cs="仿宋"/>
          <w:color w:val="auto"/>
          <w:sz w:val="32"/>
          <w:szCs w:val="32"/>
        </w:rPr>
        <w:t>万元以上的数字化项目由各</w:t>
      </w:r>
      <w:r>
        <w:rPr>
          <w:rFonts w:hint="eastAsia" w:ascii="仿宋" w:hAnsi="仿宋" w:eastAsia="仿宋" w:cs="仿宋"/>
          <w:color w:val="auto"/>
          <w:sz w:val="32"/>
          <w:szCs w:val="32"/>
          <w:lang w:eastAsia="zh-CN"/>
        </w:rPr>
        <w:t>乡（镇）、</w:t>
      </w: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按程序统筹把关后报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级联合会审。</w:t>
      </w:r>
    </w:p>
    <w:p w14:paraId="48665AC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第二十一条</w:t>
      </w:r>
      <w:r>
        <w:rPr>
          <w:rFonts w:hint="eastAsia" w:ascii="仿宋" w:hAnsi="仿宋" w:eastAsia="仿宋" w:cs="仿宋"/>
          <w:color w:val="auto"/>
          <w:sz w:val="32"/>
          <w:szCs w:val="32"/>
        </w:rPr>
        <w:t xml:space="preserve">  数字化项目有下列情形之一的，原则上不予</w:t>
      </w:r>
      <w:r>
        <w:rPr>
          <w:rFonts w:hint="eastAsia" w:ascii="仿宋" w:hAnsi="仿宋" w:eastAsia="仿宋" w:cs="仿宋"/>
          <w:color w:val="auto"/>
          <w:sz w:val="32"/>
          <w:szCs w:val="32"/>
          <w:lang w:eastAsia="zh-CN"/>
        </w:rPr>
        <w:t>支持</w:t>
      </w:r>
      <w:r>
        <w:rPr>
          <w:rFonts w:hint="eastAsia" w:ascii="仿宋" w:hAnsi="仿宋" w:eastAsia="仿宋" w:cs="仿宋"/>
          <w:color w:val="auto"/>
          <w:sz w:val="32"/>
          <w:szCs w:val="32"/>
        </w:rPr>
        <w:t>：</w:t>
      </w:r>
    </w:p>
    <w:p w14:paraId="660F7E3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（一）单独新建或扩建非涉密机房、数据中心、云平台以及公共支撑、数据资源平台等，新增采购非涉密服务器、服务端网络设备等硬件设施的项目；</w:t>
      </w:r>
    </w:p>
    <w:p w14:paraId="7C8537B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（二）单独租赁互联网出口线路的项目和未整合到电子政务内网或外网的专网租赁项目；</w:t>
      </w:r>
    </w:p>
    <w:p w14:paraId="03680B6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（三）不在政务云部署的非涉密新建项目，不迁移到政务云的非涉密升级改造项目；</w:t>
      </w:r>
    </w:p>
    <w:p w14:paraId="7091091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（四）不应用安全可靠产品的数字化系统；</w:t>
      </w:r>
    </w:p>
    <w:p w14:paraId="6BACC64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（五）不符合密码应用或网络安全保密要求，或者存在重大安全保密隐患的数字化项目；</w:t>
      </w:r>
    </w:p>
    <w:p w14:paraId="2856B86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（六）需求或绩效目标不明确、内部系统整合不到位、数据共享要求落实不到位的项目；</w:t>
      </w:r>
    </w:p>
    <w:p w14:paraId="60D0FB7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（七）原项目竣工验收未满一年或绩效评价不合格的升级</w:t>
      </w:r>
      <w:r>
        <w:rPr>
          <w:rFonts w:hint="eastAsia" w:ascii="仿宋" w:hAnsi="仿宋" w:eastAsia="仿宋" w:cs="仿宋"/>
          <w:color w:val="auto"/>
          <w:sz w:val="32"/>
          <w:szCs w:val="32"/>
          <w:lang w:eastAsia="zh-CN"/>
        </w:rPr>
        <w:t>改造</w:t>
      </w:r>
      <w:r>
        <w:rPr>
          <w:rFonts w:hint="eastAsia" w:ascii="仿宋" w:hAnsi="仿宋" w:eastAsia="仿宋" w:cs="仿宋"/>
          <w:color w:val="auto"/>
          <w:sz w:val="32"/>
          <w:szCs w:val="32"/>
        </w:rPr>
        <w:t>类项目。</w:t>
      </w:r>
    </w:p>
    <w:p w14:paraId="5BC783C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2E2D047B">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第四章  项目审批</w:t>
      </w:r>
    </w:p>
    <w:p w14:paraId="78DDAFF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77B3354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经</w:t>
      </w:r>
      <w:r>
        <w:rPr>
          <w:rFonts w:hint="eastAsia" w:ascii="仿宋" w:hAnsi="仿宋" w:eastAsia="仿宋" w:cs="仿宋"/>
          <w:color w:val="auto"/>
          <w:sz w:val="32"/>
          <w:szCs w:val="32"/>
          <w:lang w:eastAsia="zh-CN"/>
        </w:rPr>
        <w:t>县部门联席会议</w:t>
      </w:r>
      <w:r>
        <w:rPr>
          <w:rFonts w:hint="eastAsia" w:ascii="仿宋" w:hAnsi="仿宋" w:eastAsia="仿宋" w:cs="仿宋"/>
          <w:color w:val="auto"/>
          <w:sz w:val="32"/>
          <w:szCs w:val="32"/>
        </w:rPr>
        <w:t>审定的年度项目，限额以上的需按程序报省级审核，经省</w:t>
      </w:r>
      <w:r>
        <w:rPr>
          <w:rFonts w:hint="eastAsia" w:ascii="仿宋" w:hAnsi="仿宋" w:eastAsia="仿宋" w:cs="仿宋"/>
          <w:color w:val="auto"/>
          <w:sz w:val="32"/>
          <w:szCs w:val="32"/>
          <w:lang w:val="en-US" w:eastAsia="zh-CN"/>
        </w:rPr>
        <w:t>级</w:t>
      </w:r>
      <w:r>
        <w:rPr>
          <w:rFonts w:hint="eastAsia" w:ascii="仿宋" w:hAnsi="仿宋" w:eastAsia="仿宋" w:cs="仿宋"/>
          <w:color w:val="auto"/>
          <w:sz w:val="32"/>
          <w:szCs w:val="32"/>
        </w:rPr>
        <w:t>审核后方可</w:t>
      </w:r>
      <w:r>
        <w:rPr>
          <w:rFonts w:hint="eastAsia" w:ascii="仿宋" w:hAnsi="仿宋" w:eastAsia="仿宋" w:cs="仿宋"/>
          <w:color w:val="auto"/>
          <w:sz w:val="32"/>
          <w:szCs w:val="32"/>
          <w:lang w:val="en-US" w:eastAsia="zh-CN"/>
        </w:rPr>
        <w:t>启动</w:t>
      </w:r>
      <w:r>
        <w:rPr>
          <w:rFonts w:hint="eastAsia" w:ascii="仿宋" w:hAnsi="仿宋" w:eastAsia="仿宋" w:cs="仿宋"/>
          <w:color w:val="auto"/>
          <w:sz w:val="32"/>
          <w:szCs w:val="32"/>
        </w:rPr>
        <w:t>审批。限额以下项目可按程序开展</w:t>
      </w:r>
      <w:r>
        <w:rPr>
          <w:rFonts w:hint="eastAsia" w:ascii="仿宋" w:hAnsi="仿宋" w:eastAsia="仿宋" w:cs="仿宋"/>
          <w:color w:val="auto"/>
          <w:sz w:val="32"/>
          <w:szCs w:val="32"/>
          <w:lang w:val="en-US" w:eastAsia="zh-CN"/>
        </w:rPr>
        <w:t>启动</w:t>
      </w:r>
      <w:r>
        <w:rPr>
          <w:rFonts w:hint="eastAsia" w:ascii="仿宋" w:hAnsi="仿宋" w:eastAsia="仿宋" w:cs="仿宋"/>
          <w:color w:val="auto"/>
          <w:sz w:val="32"/>
          <w:szCs w:val="32"/>
        </w:rPr>
        <w:t>审批，项目</w:t>
      </w:r>
      <w:r>
        <w:rPr>
          <w:rFonts w:hint="eastAsia" w:ascii="仿宋" w:hAnsi="仿宋" w:eastAsia="仿宋" w:cs="仿宋"/>
          <w:color w:val="auto"/>
          <w:sz w:val="32"/>
          <w:szCs w:val="32"/>
          <w:lang w:val="en-US" w:eastAsia="zh-CN"/>
        </w:rPr>
        <w:t>审批</w:t>
      </w:r>
      <w:r>
        <w:rPr>
          <w:rFonts w:hint="eastAsia" w:ascii="仿宋" w:hAnsi="仿宋" w:eastAsia="仿宋" w:cs="仿宋"/>
          <w:color w:val="auto"/>
          <w:sz w:val="32"/>
          <w:szCs w:val="32"/>
        </w:rPr>
        <w:t>后需报省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备案。</w:t>
      </w:r>
    </w:p>
    <w:p w14:paraId="5B415B4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根据省、</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审定意见，</w:t>
      </w:r>
      <w:r>
        <w:rPr>
          <w:rFonts w:hint="eastAsia" w:ascii="仿宋" w:hAnsi="仿宋" w:eastAsia="仿宋" w:cs="仿宋"/>
          <w:color w:val="auto"/>
          <w:sz w:val="32"/>
          <w:szCs w:val="32"/>
          <w:lang w:eastAsia="zh-CN"/>
        </w:rPr>
        <w:t>县部门联席会议</w:t>
      </w:r>
      <w:r>
        <w:rPr>
          <w:rFonts w:hint="eastAsia" w:ascii="仿宋" w:hAnsi="仿宋" w:eastAsia="仿宋" w:cs="仿宋"/>
          <w:color w:val="auto"/>
          <w:sz w:val="32"/>
          <w:szCs w:val="32"/>
        </w:rPr>
        <w:t>办公室下发项目启动通知，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发改委将项目纳入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政府投资年度计划，</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财政局按程序安排项目预算。</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发改委、</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财政局、</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按程序开展审批或评审。</w:t>
      </w:r>
    </w:p>
    <w:p w14:paraId="5C63EF9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项目业主单位为行政机关以及法律法规授权的有管理公共事务职能的组织的，按照政府投资管理相关要求编制项目建议书、可行性研究报告、初步设计、项目预算报相关部门审批。审批流程如下：</w:t>
      </w:r>
    </w:p>
    <w:p w14:paraId="4E4C362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一）自接到启动通知之日起，项目业主单位依据审定的建设内容、技术方案和资金估算，在10个工作日内编制项目建议书报县发改委，县发改委于5个工作日内进行批复。项目建议书、可行性研究报告可自行编制或委托咨询机构库内的咨询机构进行编制。</w:t>
      </w:r>
    </w:p>
    <w:p w14:paraId="4DB8350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（二）项目建议书获批后，项目业主单位应在20个工作日内完成可行性研究报告编制及报审工作。可行性研究报告同时报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发改委及</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于15个工作日内（不含需求确认时间及业主单位编修文本时间）出具技术评审意见并抄送</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发改委，</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发改委于6个工作日内（不含可研评审及业主单位编修文本时间）依据</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的技术评审意见批复可行性研究报告。</w:t>
      </w:r>
    </w:p>
    <w:p w14:paraId="0337B52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（三）项目可行性研究报告获批后，项目业主单位应按照国家有关规定委托具备相应能力的工程设计单位编制初步设计，原则上应在30个工作日内（不含设计单位遴选时间）完成初步设计编制并报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发改委审批。</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发改委于15个工作日内（不含业主单位根据专家评审意见编修文本时间）批复初步设计。项目业主单位编修文本时间原则上不得超过20个工作日。</w:t>
      </w:r>
    </w:p>
    <w:p w14:paraId="7569A0D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（四）项目初步设计获批后，项目业主单位应在15个工作日内编制项目预算，提交完整资料报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财政局审批。</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财政局于20个工作日内（不含业主单位补充资料、参加核对、反馈意见等原因延误的时间）批复项目预算，确定招标控制价。项目业主单位反馈意见应在5个工作日内完成。</w:t>
      </w:r>
    </w:p>
    <w:p w14:paraId="620FDF8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投资额小于5000万元的项目可合并编制项目建议书、可行性研究报告，直接审批可行性研究报告，不再审批初步设计。投资额小于200万元的建设类项目，技术方案通过</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技术评审后</w:t>
      </w:r>
      <w:r>
        <w:rPr>
          <w:rFonts w:hint="eastAsia" w:ascii="仿宋" w:hAnsi="仿宋" w:eastAsia="仿宋" w:cs="仿宋"/>
          <w:color w:val="auto"/>
          <w:sz w:val="32"/>
          <w:szCs w:val="32"/>
          <w:lang w:eastAsia="zh-CN"/>
        </w:rPr>
        <w:t>，按</w:t>
      </w:r>
      <w:r>
        <w:rPr>
          <w:rFonts w:hint="eastAsia" w:ascii="仿宋" w:hAnsi="仿宋" w:eastAsia="仿宋" w:cs="仿宋"/>
          <w:color w:val="auto"/>
          <w:sz w:val="32"/>
          <w:szCs w:val="32"/>
        </w:rPr>
        <w:t>程序</w:t>
      </w:r>
      <w:r>
        <w:rPr>
          <w:rFonts w:hint="eastAsia" w:ascii="仿宋" w:hAnsi="仿宋" w:eastAsia="仿宋" w:cs="仿宋"/>
          <w:color w:val="auto"/>
          <w:sz w:val="32"/>
          <w:szCs w:val="32"/>
          <w:lang w:eastAsia="zh-CN"/>
        </w:rPr>
        <w:t>报相关部门</w:t>
      </w:r>
      <w:r>
        <w:rPr>
          <w:rFonts w:hint="eastAsia" w:ascii="仿宋" w:hAnsi="仿宋" w:eastAsia="仿宋" w:cs="仿宋"/>
          <w:color w:val="auto"/>
          <w:sz w:val="32"/>
          <w:szCs w:val="32"/>
        </w:rPr>
        <w:t>审批。服务类项目、设备采购类项目按照政府采购相关规定执行。</w:t>
      </w:r>
    </w:p>
    <w:p w14:paraId="13FF295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项目业主单位为</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属国资监管企业的，按要求编制可行性研究报告、初步设计、预算报</w:t>
      </w:r>
      <w:r>
        <w:rPr>
          <w:rFonts w:hint="eastAsia" w:ascii="仿宋" w:hAnsi="仿宋" w:eastAsia="仿宋" w:cs="仿宋"/>
          <w:color w:val="auto"/>
          <w:sz w:val="32"/>
          <w:szCs w:val="32"/>
          <w:lang w:eastAsia="zh-CN"/>
        </w:rPr>
        <w:t>县财政局</w:t>
      </w:r>
      <w:r>
        <w:rPr>
          <w:rFonts w:hint="eastAsia" w:ascii="仿宋" w:hAnsi="仿宋" w:eastAsia="仿宋" w:cs="仿宋"/>
          <w:color w:val="auto"/>
          <w:sz w:val="32"/>
          <w:szCs w:val="32"/>
        </w:rPr>
        <w:t>审批。审批流程、时序参照第二十</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条执行。</w:t>
      </w:r>
    </w:p>
    <w:p w14:paraId="0137481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未按本办法规定开展审批的项目不予拨付项目资金，不予批准政府采购或实施政府购买服务。原则上，因项目应用单位、项目业主单位原因导致项目前期工作进度延后30个工作日以上的，经</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审定后，按规定不予安排项目资金。</w:t>
      </w:r>
    </w:p>
    <w:p w14:paraId="49DAD10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7BE6B36D">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第五章  项目实施</w:t>
      </w:r>
    </w:p>
    <w:p w14:paraId="73ECF77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17E91FC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项目业主单位应当确定项目实施机构和项目责任人，建立健全项目管理制度，加强对项目全过程的统筹协调，严格执行招标投标、政府采购、工程监理、绩效管理、合同管理、档案管理、安全管理、保密管理等相关制度。招标采购涉密信息系统的，按保密有关法律法规规定执行。</w:t>
      </w:r>
    </w:p>
    <w:p w14:paraId="4AD3620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项目业主单位应当按照项目审批部门批准的建设规模、建设内容和设计方案实施，不得擅自变更。确需变更的，按</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本级政府投资管理相关规定执行。</w:t>
      </w:r>
    </w:p>
    <w:p w14:paraId="53CDAB1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二十九</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项目形成的数据资产归县政府所有，软硬件资产归项目业主单位所有。</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统筹管理政务数据资源，推进政务数据资源整合共享和开发利用等工作。项目业主单位会同应用单位建立政务数据共享长效机制和共享数据使用情况反馈机制，确保政务数据充分共享，不得将应普遍共享的政务数据仅向特定部门、企业、社会组织开放。</w:t>
      </w:r>
    </w:p>
    <w:p w14:paraId="5E82ABB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25647BCF">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第六章  项目验收</w:t>
      </w:r>
    </w:p>
    <w:p w14:paraId="64372B7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50A9C39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第三十条</w:t>
      </w:r>
      <w:r>
        <w:rPr>
          <w:rFonts w:hint="eastAsia" w:ascii="仿宋" w:hAnsi="仿宋" w:eastAsia="仿宋" w:cs="仿宋"/>
          <w:color w:val="auto"/>
          <w:sz w:val="32"/>
          <w:szCs w:val="32"/>
        </w:rPr>
        <w:t xml:space="preserve">  项目建成后需试运行。原则上，限额以下建设类项目试运行时间为3个月，限额以上建设类项目试运行时间为6个月。项目试运行结束后，项目业主单位应在20个工作日内组织终验，</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级项目终验后向</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提出竣工验收申请。</w:t>
      </w:r>
    </w:p>
    <w:p w14:paraId="7465742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限额以下项目应在终验通过后10个工作日内申请竣工验收，限额以上项目应在终验通过后30个工作日内申请竣工验收。不能按期申请竣工验收的，应当书面提出延期申请。开展竣工验收前，项目的数据共享情况需经</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确认，软硬件产品的安全可靠情况、密码应用及安全性评估情况需经</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委保密机要局确认。确认不通过的，不组织竣工验收，不安排运维经费。</w:t>
      </w:r>
    </w:p>
    <w:p w14:paraId="7BB3C6C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会同项目审批部门、项目应用单位、</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委保密机要局、</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委网信办等部门对</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级数字化项目进行竣工验收，出具验收意见。限额以上项目竣工验收情况报省</w:t>
      </w:r>
      <w:r>
        <w:rPr>
          <w:rFonts w:hint="eastAsia" w:ascii="仿宋" w:hAnsi="仿宋" w:eastAsia="仿宋" w:cs="仿宋"/>
          <w:color w:val="auto"/>
          <w:sz w:val="32"/>
          <w:szCs w:val="32"/>
          <w:lang w:val="en-US" w:eastAsia="zh-CN"/>
        </w:rPr>
        <w:t>级</w:t>
      </w:r>
      <w:r>
        <w:rPr>
          <w:rFonts w:hint="eastAsia" w:ascii="仿宋" w:hAnsi="仿宋" w:eastAsia="仿宋" w:cs="仿宋"/>
          <w:color w:val="auto"/>
          <w:sz w:val="32"/>
          <w:szCs w:val="32"/>
        </w:rPr>
        <w:t>备案。</w:t>
      </w:r>
    </w:p>
    <w:p w14:paraId="5CDC3A4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由县级统一报送省、市审定后实施的县数字化项目，由县级组织竣工验收，报省、市级备案。</w:t>
      </w:r>
    </w:p>
    <w:p w14:paraId="13DAC43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center"/>
        <w:textAlignment w:val="baseline"/>
        <w:rPr>
          <w:rFonts w:hint="eastAsia" w:ascii="黑体" w:hAnsi="黑体" w:eastAsia="黑体" w:cs="黑体"/>
          <w:color w:val="auto"/>
          <w:sz w:val="32"/>
          <w:szCs w:val="32"/>
        </w:rPr>
      </w:pPr>
    </w:p>
    <w:p w14:paraId="4AC72DF7">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第七章  资金管理和保障</w:t>
      </w:r>
    </w:p>
    <w:p w14:paraId="4227B81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36434CE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 xml:space="preserve"> 数字化项目资金应坚持多渠道筹集和统筹管理。未经</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咨询论证或技术评审的项目不予安排数字化项目资金。数字化项目资金的来源主要包括：</w:t>
      </w:r>
    </w:p>
    <w:p w14:paraId="0FD4753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财政预算安排的信息化建设专项资金；</w:t>
      </w:r>
    </w:p>
    <w:p w14:paraId="01C41DD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财政预算安排的信息化项目购买服务资金；</w:t>
      </w:r>
    </w:p>
    <w:p w14:paraId="1F484D2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（三）上级或本级安排的专项资金；</w:t>
      </w:r>
    </w:p>
    <w:p w14:paraId="4DFC93B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（四）其他来源。</w:t>
      </w:r>
    </w:p>
    <w:p w14:paraId="759CC90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 xml:space="preserve"> 每年8月底前，</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级项目业主单位按需申请运维费用，编制项目运维实施方案报</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会同</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财政局，根据各部门运维项目工作量、上一年度应用绩效评价结果和数字化项目运维监管情况，形成下一年度运维项目预算建议，报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政府同意后安排运维经费。</w:t>
      </w:r>
    </w:p>
    <w:p w14:paraId="66E3D93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级非涉密的电子政务网络平台、电子政务基础设施、公共数据系统、公共支撑平台、公共业务端口及跨部门跨层级公共数字化项目运维由</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组织编制实施方案，报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政府同意后实施。电子政务内网公共项目运维由</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委保密机要局组织编制实施方案，报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委审核后实施。</w:t>
      </w:r>
    </w:p>
    <w:p w14:paraId="4627419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加强数字化项目运维经费管理，原则上有下列情形之一的，不安排运维经费：</w:t>
      </w:r>
    </w:p>
    <w:p w14:paraId="079E94E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（一）未按要求共享数据资源或者重复采集数据的数字化</w:t>
      </w:r>
      <w:r>
        <w:rPr>
          <w:rFonts w:hint="eastAsia" w:ascii="仿宋" w:hAnsi="仿宋" w:eastAsia="仿宋" w:cs="仿宋"/>
          <w:color w:val="auto"/>
          <w:sz w:val="32"/>
          <w:szCs w:val="32"/>
          <w:lang w:eastAsia="zh-CN"/>
        </w:rPr>
        <w:t>系统</w:t>
      </w:r>
      <w:r>
        <w:rPr>
          <w:rFonts w:hint="eastAsia" w:ascii="仿宋" w:hAnsi="仿宋" w:eastAsia="仿宋" w:cs="仿宋"/>
          <w:color w:val="auto"/>
          <w:sz w:val="32"/>
          <w:szCs w:val="32"/>
        </w:rPr>
        <w:t>；</w:t>
      </w:r>
    </w:p>
    <w:p w14:paraId="038D091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（二）不符合密码应用和网络安全要求，或者存在重大安全隐患的数字化系统；</w:t>
      </w:r>
    </w:p>
    <w:p w14:paraId="3C3F434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（三）未依托政务外网和政务云承载的非涉密数字化系统；</w:t>
      </w:r>
    </w:p>
    <w:p w14:paraId="78CED57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（四）使用频率极低、长期闲置未使用的数字化系统。</w:t>
      </w:r>
    </w:p>
    <w:p w14:paraId="00FC4E1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1D18DAF3">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第八章  监督管理</w:t>
      </w:r>
    </w:p>
    <w:p w14:paraId="6336386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1D8BE6F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项目应用单位、项目业主单位应当接受相关部门的监督管理，做好绩效评价、跟踪监督、审计等工作，</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lang w:val="en-US" w:eastAsia="zh-CN"/>
        </w:rPr>
        <w:t>部门联席会议</w:t>
      </w:r>
      <w:r>
        <w:rPr>
          <w:rFonts w:hint="eastAsia" w:ascii="仿宋" w:hAnsi="仿宋" w:eastAsia="仿宋" w:cs="仿宋"/>
          <w:color w:val="auto"/>
          <w:sz w:val="32"/>
          <w:szCs w:val="32"/>
        </w:rPr>
        <w:t>办公室适时对项目建设、应用情况开展抽查。</w:t>
      </w:r>
    </w:p>
    <w:p w14:paraId="68D0F32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在项目通过竣工验收并投入运行后6至12个月内，项目业主单位会同项目应用单位开展项目建设应用绩效自评，并将自评报告报</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发改委、</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财政局、</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w:t>
      </w:r>
    </w:p>
    <w:p w14:paraId="1072BE4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三十八条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会同</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财政局等有关部门适时对项目开展重点绩效评价，根据评价结果对数字化项目存在的问题提出整改意见。评价结果及整改情况作为下一年度安排建设和运维经费的重要依据。</w:t>
      </w:r>
    </w:p>
    <w:p w14:paraId="5B71615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6EA03AC5">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第九章  附 则</w:t>
      </w:r>
    </w:p>
    <w:p w14:paraId="083AF05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77690B7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三十九</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党的机关、人大机关、政协机关、监察机关、审判机关、检察机关、群团使用财政性资金的数字化项目参照本办法执行。</w:t>
      </w:r>
    </w:p>
    <w:p w14:paraId="504B410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使用财政性资金的其他建设项目中包含数字化项目的，参照本办法执行。</w:t>
      </w:r>
    </w:p>
    <w:p w14:paraId="1210A85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lang w:eastAsia="zh-CN"/>
        </w:rPr>
      </w:pPr>
      <w:r>
        <w:rPr>
          <w:rFonts w:hint="eastAsia" w:ascii="黑体" w:hAnsi="黑体" w:eastAsia="黑体" w:cs="黑体"/>
          <w:color w:val="auto"/>
          <w:sz w:val="32"/>
          <w:szCs w:val="32"/>
        </w:rPr>
        <w:t>第四十条</w:t>
      </w:r>
      <w:r>
        <w:rPr>
          <w:rFonts w:hint="eastAsia" w:ascii="仿宋" w:hAnsi="仿宋" w:eastAsia="仿宋" w:cs="仿宋"/>
          <w:color w:val="auto"/>
          <w:sz w:val="32"/>
          <w:szCs w:val="32"/>
        </w:rPr>
        <w:t xml:space="preserve">  本办法所称限额是指基础设施类、跨部门跨层级集成类项目投资额1000万元和其他类别数字化项目（不包括运维）投资额500万元。</w:t>
      </w:r>
    </w:p>
    <w:p w14:paraId="7F68EC1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本办法出台前批准建设的项目参照本办法继续推进，已签订合同的项目根据项目合同执行，已建成项目的运维按本办法执行。</w:t>
      </w:r>
    </w:p>
    <w:p w14:paraId="75FBDF6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 xml:space="preserve"> 本办法具体应用中的问题由</w:t>
      </w:r>
      <w:r>
        <w:rPr>
          <w:rFonts w:hint="eastAsia" w:ascii="仿宋" w:hAnsi="仿宋" w:eastAsia="仿宋" w:cs="仿宋"/>
          <w:color w:val="auto"/>
          <w:sz w:val="32"/>
          <w:szCs w:val="32"/>
          <w:lang w:eastAsia="zh-CN"/>
        </w:rPr>
        <w:t>县政府办（县数据局）</w:t>
      </w:r>
      <w:r>
        <w:rPr>
          <w:rFonts w:hint="eastAsia" w:ascii="仿宋" w:hAnsi="仿宋" w:eastAsia="仿宋" w:cs="仿宋"/>
          <w:color w:val="auto"/>
          <w:sz w:val="32"/>
          <w:szCs w:val="32"/>
        </w:rPr>
        <w:t>负责解释。</w:t>
      </w:r>
    </w:p>
    <w:p w14:paraId="444A82C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本办法自印发之日起施行，有效期两年。本办法实施过程中，如遇国家、省</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政策性调整，从其规定。</w:t>
      </w:r>
    </w:p>
    <w:p w14:paraId="7C5FE37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p>
    <w:p w14:paraId="6A941CE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德安县</w:t>
      </w:r>
      <w:r>
        <w:rPr>
          <w:rFonts w:hint="eastAsia" w:ascii="仿宋" w:hAnsi="仿宋" w:eastAsia="仿宋" w:cs="仿宋"/>
          <w:color w:val="auto"/>
          <w:sz w:val="32"/>
          <w:szCs w:val="32"/>
        </w:rPr>
        <w:t>数字化项目申报表</w:t>
      </w:r>
    </w:p>
    <w:p w14:paraId="1B8BF4B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1600" w:firstLineChars="5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2.数字化项目技术方案（模板）</w:t>
      </w:r>
    </w:p>
    <w:p w14:paraId="50F41967">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383A39F7">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790DBF1C">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2659C090">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41D1E32D">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3F60764E">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7D9C8DEE">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67897EF3">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35694F5B">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46EE5044">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3A380C44">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68FD0DDC">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413A02EE">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0761651F">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0E751F6A">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71A01B02">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60B65FCA">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7E9D9AE0">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p>
    <w:p w14:paraId="654350CC">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11285C20">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color w:val="auto"/>
          <w:sz w:val="44"/>
          <w:szCs w:val="44"/>
        </w:rPr>
      </w:pPr>
      <w:r>
        <w:rPr>
          <w:rFonts w:hint="eastAsia" w:ascii="方正小标宋简体" w:hAnsi="方正小标宋简体" w:eastAsia="方正小标宋简体" w:cs="方正小标宋简体"/>
          <w:color w:val="auto"/>
          <w:sz w:val="44"/>
          <w:szCs w:val="44"/>
          <w:lang w:eastAsia="zh-CN"/>
        </w:rPr>
        <w:t>德安县</w:t>
      </w:r>
      <w:r>
        <w:rPr>
          <w:rFonts w:hint="eastAsia" w:ascii="方正小标宋简体" w:hAnsi="方正小标宋简体" w:eastAsia="方正小标宋简体" w:cs="方正小标宋简体"/>
          <w:color w:val="auto"/>
          <w:sz w:val="44"/>
          <w:szCs w:val="44"/>
        </w:rPr>
        <w:t>数字化项目申报表</w:t>
      </w:r>
    </w:p>
    <w:p w14:paraId="7DD226C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p>
    <w:p w14:paraId="7294F4CE">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申报单位（盖章）：                 申报时间：</w:t>
      </w:r>
    </w:p>
    <w:tbl>
      <w:tblPr>
        <w:tblStyle w:val="13"/>
        <w:tblW w:w="89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4"/>
        <w:gridCol w:w="2878"/>
        <w:gridCol w:w="1482"/>
        <w:gridCol w:w="2710"/>
      </w:tblGrid>
      <w:tr w14:paraId="0B8A8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44" w:type="dxa"/>
            <w:vAlign w:val="center"/>
          </w:tcPr>
          <w:p w14:paraId="3C8A9C6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2878" w:type="dxa"/>
            <w:vAlign w:val="center"/>
          </w:tcPr>
          <w:p w14:paraId="7B33BC7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c>
          <w:tcPr>
            <w:tcW w:w="1482" w:type="dxa"/>
            <w:vAlign w:val="center"/>
          </w:tcPr>
          <w:p w14:paraId="7FD6531D">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应用单位</w:t>
            </w:r>
          </w:p>
        </w:tc>
        <w:tc>
          <w:tcPr>
            <w:tcW w:w="2710" w:type="dxa"/>
            <w:vAlign w:val="top"/>
          </w:tcPr>
          <w:p w14:paraId="105D70E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r>
      <w:tr w14:paraId="4871F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44" w:type="dxa"/>
            <w:vAlign w:val="center"/>
          </w:tcPr>
          <w:p w14:paraId="5D8894E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建设地点</w:t>
            </w:r>
          </w:p>
        </w:tc>
        <w:tc>
          <w:tcPr>
            <w:tcW w:w="2878" w:type="dxa"/>
            <w:vAlign w:val="center"/>
          </w:tcPr>
          <w:p w14:paraId="58575F2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c>
          <w:tcPr>
            <w:tcW w:w="1482" w:type="dxa"/>
            <w:vAlign w:val="center"/>
          </w:tcPr>
          <w:p w14:paraId="1AFBC7F0">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建设时间</w:t>
            </w:r>
          </w:p>
        </w:tc>
        <w:tc>
          <w:tcPr>
            <w:tcW w:w="2710" w:type="dxa"/>
            <w:vAlign w:val="top"/>
          </w:tcPr>
          <w:p w14:paraId="50A6DD4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r>
      <w:tr w14:paraId="7A511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44" w:type="dxa"/>
            <w:vAlign w:val="center"/>
          </w:tcPr>
          <w:p w14:paraId="2DD3089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2878" w:type="dxa"/>
            <w:vAlign w:val="center"/>
          </w:tcPr>
          <w:p w14:paraId="6D5E2CD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c>
          <w:tcPr>
            <w:tcW w:w="1482" w:type="dxa"/>
            <w:vAlign w:val="center"/>
          </w:tcPr>
          <w:p w14:paraId="68ADC769">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p>
        </w:tc>
        <w:tc>
          <w:tcPr>
            <w:tcW w:w="2710" w:type="dxa"/>
            <w:vAlign w:val="top"/>
          </w:tcPr>
          <w:p w14:paraId="642D8C8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r>
      <w:tr w14:paraId="2E981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44" w:type="dxa"/>
            <w:vMerge w:val="restart"/>
            <w:tcBorders>
              <w:bottom w:val="nil"/>
            </w:tcBorders>
            <w:vAlign w:val="center"/>
          </w:tcPr>
          <w:p w14:paraId="1D84120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资金匡算</w:t>
            </w:r>
          </w:p>
        </w:tc>
        <w:tc>
          <w:tcPr>
            <w:tcW w:w="2878" w:type="dxa"/>
            <w:vAlign w:val="center"/>
          </w:tcPr>
          <w:p w14:paraId="1189A31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960" w:firstLineChars="4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总投资</w:t>
            </w:r>
          </w:p>
        </w:tc>
        <w:tc>
          <w:tcPr>
            <w:tcW w:w="4192" w:type="dxa"/>
            <w:gridSpan w:val="2"/>
            <w:vAlign w:val="center"/>
          </w:tcPr>
          <w:p w14:paraId="53FEBF3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r>
      <w:tr w14:paraId="1891D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844" w:type="dxa"/>
            <w:vMerge w:val="continue"/>
            <w:tcBorders>
              <w:top w:val="nil"/>
            </w:tcBorders>
            <w:vAlign w:val="center"/>
          </w:tcPr>
          <w:p w14:paraId="5CDFFD67">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c>
          <w:tcPr>
            <w:tcW w:w="2878" w:type="dxa"/>
            <w:vAlign w:val="center"/>
          </w:tcPr>
          <w:p w14:paraId="0BF2CB6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其中，工程</w:t>
            </w:r>
          </w:p>
          <w:p w14:paraId="10D02CA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（实施）费用</w:t>
            </w:r>
          </w:p>
        </w:tc>
        <w:tc>
          <w:tcPr>
            <w:tcW w:w="4192" w:type="dxa"/>
            <w:gridSpan w:val="2"/>
            <w:vAlign w:val="center"/>
          </w:tcPr>
          <w:p w14:paraId="50B3483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r>
      <w:tr w14:paraId="081E4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44" w:type="dxa"/>
            <w:vAlign w:val="center"/>
          </w:tcPr>
          <w:p w14:paraId="04EC4F3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主要任务</w:t>
            </w:r>
          </w:p>
        </w:tc>
        <w:tc>
          <w:tcPr>
            <w:tcW w:w="7070" w:type="dxa"/>
            <w:gridSpan w:val="3"/>
            <w:vAlign w:val="center"/>
          </w:tcPr>
          <w:p w14:paraId="27A8FB4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r>
      <w:tr w14:paraId="4FA22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844" w:type="dxa"/>
            <w:vAlign w:val="center"/>
          </w:tcPr>
          <w:p w14:paraId="75D57D2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项目内容</w:t>
            </w:r>
          </w:p>
        </w:tc>
        <w:tc>
          <w:tcPr>
            <w:tcW w:w="7070" w:type="dxa"/>
            <w:gridSpan w:val="3"/>
            <w:vAlign w:val="center"/>
          </w:tcPr>
          <w:p w14:paraId="6464D56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r>
      <w:tr w14:paraId="34CBB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1844" w:type="dxa"/>
            <w:vAlign w:val="center"/>
          </w:tcPr>
          <w:p w14:paraId="3FBA33A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必要性及建设</w:t>
            </w:r>
          </w:p>
          <w:p w14:paraId="1BB4EA1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（实施）依据</w:t>
            </w:r>
          </w:p>
        </w:tc>
        <w:tc>
          <w:tcPr>
            <w:tcW w:w="7070" w:type="dxa"/>
            <w:gridSpan w:val="3"/>
            <w:vAlign w:val="center"/>
          </w:tcPr>
          <w:p w14:paraId="434D797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r>
      <w:tr w14:paraId="19C3F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844" w:type="dxa"/>
            <w:vAlign w:val="center"/>
          </w:tcPr>
          <w:p w14:paraId="1EBC397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绩效目标</w:t>
            </w:r>
          </w:p>
        </w:tc>
        <w:tc>
          <w:tcPr>
            <w:tcW w:w="7070" w:type="dxa"/>
            <w:gridSpan w:val="3"/>
            <w:vAlign w:val="center"/>
          </w:tcPr>
          <w:p w14:paraId="11ACA31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r>
      <w:tr w14:paraId="7539D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844" w:type="dxa"/>
            <w:vAlign w:val="center"/>
          </w:tcPr>
          <w:p w14:paraId="7576650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实施方式</w:t>
            </w:r>
          </w:p>
          <w:p w14:paraId="0AE82B2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及原因</w:t>
            </w:r>
          </w:p>
        </w:tc>
        <w:tc>
          <w:tcPr>
            <w:tcW w:w="7070" w:type="dxa"/>
            <w:gridSpan w:val="3"/>
            <w:vAlign w:val="center"/>
          </w:tcPr>
          <w:p w14:paraId="159DF07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Theme="minorEastAsia" w:hAnsiTheme="minorEastAsia" w:eastAsiaTheme="minorEastAsia" w:cstheme="minorEastAsia"/>
                <w:color w:val="auto"/>
                <w:sz w:val="24"/>
                <w:szCs w:val="24"/>
              </w:rPr>
            </w:pPr>
          </w:p>
        </w:tc>
      </w:tr>
      <w:tr w14:paraId="65C92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1844" w:type="dxa"/>
            <w:vAlign w:val="center"/>
          </w:tcPr>
          <w:p w14:paraId="554C5C0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主管部门</w:t>
            </w:r>
          </w:p>
          <w:p w14:paraId="675ACF9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意见</w:t>
            </w:r>
          </w:p>
        </w:tc>
        <w:tc>
          <w:tcPr>
            <w:tcW w:w="7070" w:type="dxa"/>
            <w:gridSpan w:val="3"/>
            <w:vAlign w:val="center"/>
          </w:tcPr>
          <w:p w14:paraId="332AC66A">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hint="eastAsia" w:asciiTheme="minorEastAsia" w:hAnsiTheme="minorEastAsia" w:eastAsiaTheme="minorEastAsia" w:cstheme="minorEastAsia"/>
                <w:color w:val="auto"/>
                <w:sz w:val="24"/>
                <w:szCs w:val="24"/>
              </w:rPr>
            </w:pPr>
          </w:p>
          <w:p w14:paraId="37D4827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（盖章）</w:t>
            </w:r>
          </w:p>
          <w:p w14:paraId="6E0E07B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tc>
      </w:tr>
      <w:tr w14:paraId="37DCC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844" w:type="dxa"/>
            <w:vAlign w:val="center"/>
          </w:tcPr>
          <w:p w14:paraId="124B0B1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分管县领导</w:t>
            </w:r>
          </w:p>
          <w:p w14:paraId="4A2DD66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意见</w:t>
            </w:r>
          </w:p>
        </w:tc>
        <w:tc>
          <w:tcPr>
            <w:tcW w:w="7070" w:type="dxa"/>
            <w:gridSpan w:val="3"/>
            <w:vAlign w:val="center"/>
          </w:tcPr>
          <w:p w14:paraId="3456875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right"/>
              <w:textAlignment w:val="baseline"/>
              <w:rPr>
                <w:rFonts w:hint="eastAsia" w:asciiTheme="minorEastAsia" w:hAnsiTheme="minorEastAsia" w:eastAsiaTheme="minorEastAsia" w:cstheme="minorEastAsia"/>
                <w:color w:val="auto"/>
                <w:sz w:val="24"/>
                <w:szCs w:val="24"/>
              </w:rPr>
            </w:pPr>
          </w:p>
          <w:p w14:paraId="1AF0229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（盖章）</w:t>
            </w:r>
          </w:p>
          <w:p w14:paraId="750E6E9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tc>
      </w:tr>
    </w:tbl>
    <w:p w14:paraId="5C47A53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sectPr>
          <w:footerReference r:id="rId3" w:type="default"/>
          <w:pgSz w:w="11906" w:h="16839"/>
          <w:pgMar w:top="2098" w:right="1474" w:bottom="1984" w:left="1587" w:header="0" w:footer="1558" w:gutter="0"/>
          <w:pgNumType w:fmt="numberInDash"/>
          <w:cols w:space="720" w:num="1"/>
        </w:sectPr>
      </w:pPr>
    </w:p>
    <w:p w14:paraId="0763BF72">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1EBB2130">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数字化</w:t>
      </w:r>
      <w:r>
        <w:rPr>
          <w:rFonts w:hint="eastAsia" w:ascii="方正小标宋简体" w:hAnsi="方正小标宋简体" w:eastAsia="方正小标宋简体" w:cs="方正小标宋简体"/>
          <w:color w:val="auto"/>
          <w:sz w:val="44"/>
          <w:szCs w:val="44"/>
          <w:lang w:eastAsia="zh-CN"/>
        </w:rPr>
        <w:t>项目技术方案（</w:t>
      </w:r>
      <w:r>
        <w:rPr>
          <w:rFonts w:hint="eastAsia" w:ascii="方正小标宋简体" w:hAnsi="方正小标宋简体" w:eastAsia="方正小标宋简体" w:cs="方正小标宋简体"/>
          <w:color w:val="auto"/>
          <w:sz w:val="44"/>
          <w:szCs w:val="44"/>
          <w:lang w:val="en-US" w:eastAsia="zh-CN"/>
        </w:rPr>
        <w:t>模板</w:t>
      </w:r>
      <w:r>
        <w:rPr>
          <w:rFonts w:hint="eastAsia" w:ascii="方正小标宋简体" w:hAnsi="方正小标宋简体" w:eastAsia="方正小标宋简体" w:cs="方正小标宋简体"/>
          <w:color w:val="auto"/>
          <w:sz w:val="44"/>
          <w:szCs w:val="44"/>
          <w:lang w:eastAsia="zh-CN"/>
        </w:rPr>
        <w:t>）</w:t>
      </w:r>
    </w:p>
    <w:p w14:paraId="15A4C856">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color w:val="auto"/>
          <w:sz w:val="32"/>
          <w:szCs w:val="32"/>
        </w:rPr>
      </w:pPr>
    </w:p>
    <w:p w14:paraId="12733DB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一、概述</w:t>
      </w:r>
    </w:p>
    <w:p w14:paraId="20DF464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（一）项目概况。</w:t>
      </w:r>
    </w:p>
    <w:p w14:paraId="7B6E0CD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项目全称及简称。概述项目建设目标和任务、建设地点、建设内容和规模（含主要产出）、建设工期、投资规模和资金来源、建设模式、主要技术经济指标、绩效目标等。</w:t>
      </w:r>
    </w:p>
    <w:p w14:paraId="6A800F8B">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（二）项目应用单位概况。</w:t>
      </w:r>
    </w:p>
    <w:p w14:paraId="62E6DE6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简述项目应用单位基本情况。拟新组建项目法人的，简述项目法人组建方案。</w:t>
      </w:r>
    </w:p>
    <w:p w14:paraId="306BE98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二、数字政府建设总体方案落实情况</w:t>
      </w:r>
    </w:p>
    <w:p w14:paraId="03A6342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（一）项目统筹建设情况。</w:t>
      </w:r>
    </w:p>
    <w:p w14:paraId="0D0154A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简述项目建设遵循统筹规划、共建共享、业务协同、安全可靠情况。非涉密数字化项目建设原则上必须依托政务信息化基础设施开展集约化建设。</w:t>
      </w:r>
    </w:p>
    <w:p w14:paraId="4BA9FF8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（二）“五统一”原则落实情况。</w:t>
      </w:r>
    </w:p>
    <w:p w14:paraId="01B2DCDB">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简述项目“五统一”原则落实情况，即统一顶层架构、统一数字底座、统一技术标准、统一共性应用、统一运维运营等情况。</w:t>
      </w:r>
    </w:p>
    <w:p w14:paraId="7832369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（三）“省级主建，</w:t>
      </w:r>
      <w:r>
        <w:rPr>
          <w:rFonts w:hint="eastAsia" w:ascii="楷体" w:hAnsi="楷体" w:eastAsia="楷体" w:cs="楷体"/>
          <w:b/>
          <w:bCs/>
          <w:color w:val="auto"/>
          <w:sz w:val="32"/>
          <w:szCs w:val="32"/>
          <w:lang w:val="en-US" w:eastAsia="zh-CN"/>
        </w:rPr>
        <w:t>市</w:t>
      </w:r>
      <w:r>
        <w:rPr>
          <w:rFonts w:hint="eastAsia" w:ascii="楷体" w:hAnsi="楷体" w:eastAsia="楷体" w:cs="楷体"/>
          <w:b/>
          <w:bCs/>
          <w:color w:val="auto"/>
          <w:sz w:val="32"/>
          <w:szCs w:val="32"/>
        </w:rPr>
        <w:t>县主用”原则落实情况。</w:t>
      </w:r>
    </w:p>
    <w:p w14:paraId="2FFFB64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简述项目建设及应用方式与“省级主建，</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县主用”原则落实情况。</w:t>
      </w:r>
    </w:p>
    <w:p w14:paraId="31C1FADB">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三、项目建设背景和必要性</w:t>
      </w:r>
    </w:p>
    <w:p w14:paraId="428888C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（一）项目建设背景。</w:t>
      </w:r>
    </w:p>
    <w:p w14:paraId="20804BF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简述项目立项背景和前期工作进展。</w:t>
      </w:r>
    </w:p>
    <w:p w14:paraId="1EAD723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（二）项目建设必要性。</w:t>
      </w:r>
    </w:p>
    <w:p w14:paraId="779D0B4B">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从重大战略和规划、产业政策、经济社会发展、项目应用单位履职尽责等层面，综合论证项目建设的必要性和建设时机的适当性（有文件建设依据的，提供文件内容并将原文以附件形式附后）。</w:t>
      </w:r>
    </w:p>
    <w:p w14:paraId="3B1C93D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四、项目需求分析</w:t>
      </w:r>
    </w:p>
    <w:p w14:paraId="3BED0B0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（一）现状分析。</w:t>
      </w:r>
    </w:p>
    <w:p w14:paraId="667062C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对本部门（单位）内信息化现状进行详细调查，从信息化系统、网络、数据、安全、运维、规章制度、人员队伍、应用情况等方面进行描述，通过文字、图表等形式分析现有信息化应用的情况。</w:t>
      </w:r>
    </w:p>
    <w:p w14:paraId="255353A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（二）需求分析。</w:t>
      </w:r>
    </w:p>
    <w:p w14:paraId="46BD0CF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在调查项目所涉产品或服务需求现状的基础上，分析产品或服务的可接受性或需求潜力，研究提出拟建项目功能定位、近期和远期目标、产品或服务的需求总量及结构。</w:t>
      </w:r>
    </w:p>
    <w:p w14:paraId="7467363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（三）建设内容和规模。</w:t>
      </w:r>
    </w:p>
    <w:p w14:paraId="564C9F8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结合项目建设目标和功能定位等，论证拟建项目的总体布局、主要建设内容及规模，确定建设标准。大型、复杂及分期建设项目应根据项目整体规划、资源利用条件及近远期需求预测，明确项目近远期建设规模、分阶段建设目标和建设进度安排，并说明预留发展空间及其合理性、预留条件对远期规模的影响等。</w:t>
      </w:r>
    </w:p>
    <w:p w14:paraId="0FC6ACD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（四）项目产出方案。</w:t>
      </w:r>
    </w:p>
    <w:p w14:paraId="12E6334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研究提出拟建项目正常运营年份应达到的生产或服务能力及其质量标准要求，并评价项目建设内容、规模以及产出的合理性。</w:t>
      </w:r>
    </w:p>
    <w:p w14:paraId="6038FFF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五、项目建设方案</w:t>
      </w:r>
    </w:p>
    <w:p w14:paraId="0185263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（一）总体建设方案。</w:t>
      </w:r>
    </w:p>
    <w:p w14:paraId="40F56C4B">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从系统、网络、数据、安全、运维、规章制度、人员队伍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应用情况等方面阐述为达到项目目标和绩效目标所采用的建设方案，在已有信息化基础上，通过多方案比较，选择项目最佳或合理的建设方案。</w:t>
      </w:r>
    </w:p>
    <w:p w14:paraId="60E6260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（二）技术方案。</w:t>
      </w:r>
    </w:p>
    <w:p w14:paraId="06BB4BF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通过技术比较提出项目预期达到的技术目标、技术来源及其实现路径，确定核心技术方案和核心技术指标。简述推荐技术路线的理由。对于专利或关键核心技术，需要分析其取得方式的可靠性、知识产权保护、技术标准和自主可控性等。</w:t>
      </w:r>
    </w:p>
    <w:p w14:paraId="571C505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（三）数字化方案。</w:t>
      </w:r>
    </w:p>
    <w:p w14:paraId="4A514BF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对于具备条件的项目，研究提出拟建项目数字化应用方案，包括技术、设备、工程、建设管理和运维、网络与数据安全保障等方面，提出以数字化交付为目的，实现设计—施工—运维全过程数字化应用方案。</w:t>
      </w:r>
    </w:p>
    <w:p w14:paraId="11D6ECB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（四）信息安全保障和密码应用方案。</w:t>
      </w:r>
    </w:p>
    <w:p w14:paraId="6E3598B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从系统、网络、数据、应用、环境等方面提出安全保障方案和国产密码应用方案。</w:t>
      </w:r>
    </w:p>
    <w:p w14:paraId="0D516F8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（五）建设管理方案。</w:t>
      </w:r>
    </w:p>
    <w:p w14:paraId="19633D5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提出项目建设组织模式和机构设置，制定质量、安全管理方案和验收标准，明确建设质量和安全管理目标及要求。提出拟采用新设备、新技术、新工艺等推动高质量建设的技术措施。提出项目建设工期，对项目建设主要时间节点做出时序性安排。提出包括招标范围、招标组织形式和招标方式等在内的拟建项目招标方案。研究提出拟采用的建设管理模式，如代建管理、全过程工程咨询服务、工程总承包（EPC）等。</w:t>
      </w:r>
    </w:p>
    <w:p w14:paraId="56A5D7B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六、集约化及信息资源共享分析</w:t>
      </w:r>
    </w:p>
    <w:p w14:paraId="32E7D76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（一）集约化建设。</w:t>
      </w:r>
    </w:p>
    <w:p w14:paraId="39B62B6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非涉密数字化项目应依托电子政务云平台、政务网、共性应用来实施建设，描述项目落实集约化建设情况，列明政务云资源需求清单。</w:t>
      </w:r>
    </w:p>
    <w:p w14:paraId="17249B6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（二）信息资源共享。</w:t>
      </w:r>
    </w:p>
    <w:p w14:paraId="496E036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政务信息化项目必须依托</w:t>
      </w:r>
      <w:r>
        <w:rPr>
          <w:rFonts w:hint="eastAsia" w:ascii="仿宋" w:hAnsi="仿宋" w:eastAsia="仿宋" w:cs="仿宋"/>
          <w:color w:val="auto"/>
          <w:sz w:val="32"/>
          <w:szCs w:val="32"/>
          <w:lang w:val="en-US" w:eastAsia="zh-CN"/>
        </w:rPr>
        <w:t>九江市</w:t>
      </w:r>
      <w:r>
        <w:rPr>
          <w:rFonts w:hint="eastAsia" w:ascii="仿宋" w:hAnsi="仿宋" w:eastAsia="仿宋" w:cs="仿宋"/>
          <w:color w:val="auto"/>
          <w:sz w:val="32"/>
          <w:szCs w:val="32"/>
        </w:rPr>
        <w:t>电子政务共享数据统一交换平台共享政务数据，描述项目所需信息资源和项目可提供的信息资源，编制政务信息资源目录，明确各类数据共享属性和开放属性等。</w:t>
      </w:r>
    </w:p>
    <w:p w14:paraId="59B21F2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七、项目投资与财务方案</w:t>
      </w:r>
    </w:p>
    <w:p w14:paraId="034251F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（一）投资估算。</w:t>
      </w:r>
    </w:p>
    <w:p w14:paraId="763AD5E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对项目建设和生产运营所需投入的全部资金即项目总投资进行估算，包括建设投资、建设期流动资金，说明投资估算编制依据和编制范围，明确建设期内分年度投资计划，初步测算项目建成后的年度运维费用。投资估算明细须附表详细列出评估过程，涉及成品软件和硬件采购的需附上定价依据；有类似项目建设案例的，提供不少于三个的类似项目成交合同价。</w:t>
      </w:r>
    </w:p>
    <w:p w14:paraId="5A1951E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（二）筹资方案。</w:t>
      </w:r>
    </w:p>
    <w:p w14:paraId="6DD2AF8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资金来源及落实情况。</w:t>
      </w:r>
    </w:p>
    <w:p w14:paraId="47055FE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（三）项目报价情况。</w:t>
      </w:r>
    </w:p>
    <w:p w14:paraId="3DBA6C6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提供三家以上厂商（服务商）报价。</w:t>
      </w:r>
    </w:p>
    <w:p w14:paraId="39FC102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八、附表、附图和附件</w:t>
      </w:r>
    </w:p>
    <w:p w14:paraId="720E690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根据项目实际情况和相关规范要求，研究确定并附具必要的附表、附图和附件等。项目必要性材料、估算金额依据。</w:t>
      </w:r>
    </w:p>
    <w:p w14:paraId="56556BE1">
      <w:pPr>
        <w:keepNext w:val="0"/>
        <w:keepLines w:val="0"/>
        <w:pageBreakBefore w:val="0"/>
        <w:widowControl w:val="0"/>
        <w:overflowPunct/>
        <w:bidi w:val="0"/>
        <w:rPr>
          <w:rFonts w:hint="eastAsia"/>
          <w:lang w:val="en-US" w:eastAsia="zh-CN"/>
        </w:rPr>
        <w:sectPr>
          <w:footerReference r:id="rId4" w:type="default"/>
          <w:pgSz w:w="11906" w:h="16838"/>
          <w:pgMar w:top="2098" w:right="1474" w:bottom="1984" w:left="1587" w:header="851" w:footer="992" w:gutter="0"/>
          <w:pgNumType w:fmt="numberInDash"/>
          <w:cols w:space="0" w:num="1"/>
          <w:rtlGutter w:val="0"/>
          <w:docGrid w:type="lines" w:linePitch="316" w:charSpace="0"/>
        </w:sectPr>
      </w:pPr>
    </w:p>
    <w:p w14:paraId="7555E3E5">
      <w:pPr>
        <w:keepNext w:val="0"/>
        <w:keepLines w:val="0"/>
        <w:pageBreakBefore w:val="0"/>
        <w:widowControl w:val="0"/>
        <w:overflowPunct/>
        <w:bidi w:val="0"/>
      </w:pPr>
    </w:p>
    <w:p w14:paraId="67A83753">
      <w:pPr>
        <w:keepNext w:val="0"/>
        <w:keepLines w:val="0"/>
        <w:pageBreakBefore w:val="0"/>
        <w:widowControl w:val="0"/>
        <w:overflowPunct/>
        <w:bidi w:val="0"/>
      </w:pPr>
    </w:p>
    <w:p w14:paraId="5A601B1B">
      <w:pPr>
        <w:keepNext w:val="0"/>
        <w:keepLines w:val="0"/>
        <w:pageBreakBefore w:val="0"/>
        <w:widowControl w:val="0"/>
        <w:overflowPunct/>
        <w:bidi w:val="0"/>
      </w:pPr>
    </w:p>
    <w:p w14:paraId="5972A313">
      <w:pPr>
        <w:keepNext w:val="0"/>
        <w:keepLines w:val="0"/>
        <w:pageBreakBefore w:val="0"/>
        <w:widowControl w:val="0"/>
        <w:overflowPunct/>
        <w:bidi w:val="0"/>
      </w:pPr>
    </w:p>
    <w:p w14:paraId="67E07C3F">
      <w:pPr>
        <w:keepNext w:val="0"/>
        <w:keepLines w:val="0"/>
        <w:pageBreakBefore w:val="0"/>
        <w:widowControl w:val="0"/>
        <w:overflowPunct/>
        <w:bidi w:val="0"/>
      </w:pPr>
    </w:p>
    <w:p w14:paraId="5C86CE2E">
      <w:pPr>
        <w:keepNext w:val="0"/>
        <w:keepLines w:val="0"/>
        <w:pageBreakBefore w:val="0"/>
        <w:widowControl w:val="0"/>
        <w:overflowPunct/>
        <w:bidi w:val="0"/>
      </w:pPr>
    </w:p>
    <w:p w14:paraId="5B817B24">
      <w:pPr>
        <w:keepNext w:val="0"/>
        <w:keepLines w:val="0"/>
        <w:pageBreakBefore w:val="0"/>
        <w:widowControl w:val="0"/>
        <w:overflowPunct/>
        <w:bidi w:val="0"/>
      </w:pPr>
    </w:p>
    <w:p w14:paraId="08824FAC">
      <w:pPr>
        <w:keepNext w:val="0"/>
        <w:keepLines w:val="0"/>
        <w:pageBreakBefore w:val="0"/>
        <w:widowControl w:val="0"/>
        <w:overflowPunct/>
        <w:bidi w:val="0"/>
      </w:pPr>
    </w:p>
    <w:p w14:paraId="750E2A38">
      <w:pPr>
        <w:keepNext w:val="0"/>
        <w:keepLines w:val="0"/>
        <w:pageBreakBefore w:val="0"/>
        <w:widowControl w:val="0"/>
        <w:overflowPunct/>
        <w:bidi w:val="0"/>
      </w:pPr>
    </w:p>
    <w:p w14:paraId="60CD3A2D">
      <w:pPr>
        <w:keepNext w:val="0"/>
        <w:keepLines w:val="0"/>
        <w:pageBreakBefore w:val="0"/>
        <w:widowControl w:val="0"/>
        <w:overflowPunct/>
        <w:bidi w:val="0"/>
      </w:pPr>
    </w:p>
    <w:p w14:paraId="4AAEEDD1">
      <w:pPr>
        <w:keepNext w:val="0"/>
        <w:keepLines w:val="0"/>
        <w:pageBreakBefore w:val="0"/>
        <w:widowControl w:val="0"/>
        <w:overflowPunct/>
        <w:bidi w:val="0"/>
      </w:pPr>
    </w:p>
    <w:p w14:paraId="6DBD48B7">
      <w:pPr>
        <w:keepNext w:val="0"/>
        <w:keepLines w:val="0"/>
        <w:pageBreakBefore w:val="0"/>
        <w:widowControl w:val="0"/>
        <w:overflowPunct/>
        <w:bidi w:val="0"/>
      </w:pPr>
    </w:p>
    <w:p w14:paraId="055FB5F7">
      <w:pPr>
        <w:keepNext w:val="0"/>
        <w:keepLines w:val="0"/>
        <w:pageBreakBefore w:val="0"/>
        <w:widowControl w:val="0"/>
        <w:overflowPunct/>
        <w:bidi w:val="0"/>
      </w:pPr>
    </w:p>
    <w:p w14:paraId="16B5D4CE">
      <w:pPr>
        <w:keepNext w:val="0"/>
        <w:keepLines w:val="0"/>
        <w:pageBreakBefore w:val="0"/>
        <w:widowControl w:val="0"/>
        <w:overflowPunct/>
        <w:bidi w:val="0"/>
      </w:pPr>
    </w:p>
    <w:p w14:paraId="491DC408">
      <w:pPr>
        <w:keepNext w:val="0"/>
        <w:keepLines w:val="0"/>
        <w:pageBreakBefore w:val="0"/>
        <w:widowControl w:val="0"/>
        <w:overflowPunct/>
        <w:bidi w:val="0"/>
      </w:pPr>
    </w:p>
    <w:p w14:paraId="2A23FCB6">
      <w:pPr>
        <w:keepNext w:val="0"/>
        <w:keepLines w:val="0"/>
        <w:pageBreakBefore w:val="0"/>
        <w:widowControl w:val="0"/>
        <w:overflowPunct/>
        <w:bidi w:val="0"/>
      </w:pPr>
    </w:p>
    <w:p w14:paraId="3EDAABC4">
      <w:pPr>
        <w:keepNext w:val="0"/>
        <w:keepLines w:val="0"/>
        <w:pageBreakBefore w:val="0"/>
        <w:widowControl w:val="0"/>
        <w:overflowPunct/>
        <w:bidi w:val="0"/>
      </w:pPr>
    </w:p>
    <w:p w14:paraId="52E921D1">
      <w:pPr>
        <w:keepNext w:val="0"/>
        <w:keepLines w:val="0"/>
        <w:pageBreakBefore w:val="0"/>
        <w:widowControl w:val="0"/>
        <w:overflowPunct/>
        <w:bidi w:val="0"/>
      </w:pPr>
    </w:p>
    <w:p w14:paraId="7CA3BFA0">
      <w:pPr>
        <w:keepNext w:val="0"/>
        <w:keepLines w:val="0"/>
        <w:pageBreakBefore w:val="0"/>
        <w:widowControl w:val="0"/>
        <w:overflowPunct/>
        <w:bidi w:val="0"/>
      </w:pPr>
    </w:p>
    <w:p w14:paraId="5F1690FA">
      <w:pPr>
        <w:keepNext w:val="0"/>
        <w:keepLines w:val="0"/>
        <w:pageBreakBefore w:val="0"/>
        <w:widowControl w:val="0"/>
        <w:overflowPunct/>
        <w:bidi w:val="0"/>
      </w:pPr>
    </w:p>
    <w:p w14:paraId="50843C8F">
      <w:pPr>
        <w:keepNext w:val="0"/>
        <w:keepLines w:val="0"/>
        <w:pageBreakBefore w:val="0"/>
        <w:widowControl w:val="0"/>
        <w:overflowPunct/>
        <w:bidi w:val="0"/>
      </w:pPr>
    </w:p>
    <w:p w14:paraId="1F8A6A0F">
      <w:pPr>
        <w:keepNext w:val="0"/>
        <w:keepLines w:val="0"/>
        <w:pageBreakBefore w:val="0"/>
        <w:widowControl w:val="0"/>
        <w:overflowPunct/>
        <w:bidi w:val="0"/>
      </w:pPr>
    </w:p>
    <w:p w14:paraId="523F630A">
      <w:pPr>
        <w:keepNext w:val="0"/>
        <w:keepLines w:val="0"/>
        <w:pageBreakBefore w:val="0"/>
        <w:widowControl w:val="0"/>
        <w:overflowPunct/>
        <w:bidi w:val="0"/>
      </w:pPr>
    </w:p>
    <w:p w14:paraId="0206714F">
      <w:pPr>
        <w:keepNext w:val="0"/>
        <w:keepLines w:val="0"/>
        <w:pageBreakBefore w:val="0"/>
        <w:widowControl w:val="0"/>
        <w:overflowPunct/>
        <w:bidi w:val="0"/>
      </w:pPr>
    </w:p>
    <w:p w14:paraId="739131A1">
      <w:pPr>
        <w:keepNext w:val="0"/>
        <w:keepLines w:val="0"/>
        <w:pageBreakBefore w:val="0"/>
        <w:widowControl w:val="0"/>
        <w:overflowPunct/>
        <w:bidi w:val="0"/>
      </w:pPr>
    </w:p>
    <w:p w14:paraId="25B2DC4F">
      <w:pPr>
        <w:keepNext w:val="0"/>
        <w:keepLines w:val="0"/>
        <w:pageBreakBefore w:val="0"/>
        <w:widowControl w:val="0"/>
        <w:overflowPunct/>
        <w:bidi w:val="0"/>
      </w:pPr>
    </w:p>
    <w:p w14:paraId="089B5935">
      <w:pPr>
        <w:keepNext w:val="0"/>
        <w:keepLines w:val="0"/>
        <w:pageBreakBefore w:val="0"/>
        <w:widowControl w:val="0"/>
        <w:overflowPunct/>
        <w:bidi w:val="0"/>
      </w:pPr>
    </w:p>
    <w:p w14:paraId="71408A27">
      <w:pPr>
        <w:keepNext w:val="0"/>
        <w:keepLines w:val="0"/>
        <w:pageBreakBefore w:val="0"/>
        <w:widowControl w:val="0"/>
        <w:overflowPunct/>
        <w:bidi w:val="0"/>
      </w:pPr>
    </w:p>
    <w:p w14:paraId="44C3AF62">
      <w:pPr>
        <w:keepNext w:val="0"/>
        <w:keepLines w:val="0"/>
        <w:pageBreakBefore w:val="0"/>
        <w:widowControl w:val="0"/>
        <w:overflowPunct/>
        <w:bidi w:val="0"/>
      </w:pPr>
    </w:p>
    <w:p w14:paraId="0B65A527">
      <w:pPr>
        <w:keepNext w:val="0"/>
        <w:keepLines w:val="0"/>
        <w:pageBreakBefore w:val="0"/>
        <w:widowControl w:val="0"/>
        <w:overflowPunct/>
        <w:bidi w:val="0"/>
      </w:pPr>
    </w:p>
    <w:p w14:paraId="7AB36F7D">
      <w:pPr>
        <w:keepNext w:val="0"/>
        <w:keepLines w:val="0"/>
        <w:pageBreakBefore w:val="0"/>
        <w:widowControl w:val="0"/>
        <w:overflowPunct/>
        <w:bidi w:val="0"/>
      </w:pPr>
    </w:p>
    <w:p w14:paraId="15C1614C">
      <w:pPr>
        <w:keepNext w:val="0"/>
        <w:keepLines w:val="0"/>
        <w:pageBreakBefore w:val="0"/>
        <w:widowControl w:val="0"/>
        <w:overflowPunct/>
        <w:bidi w:val="0"/>
      </w:pPr>
    </w:p>
    <w:p w14:paraId="5DA9F80E">
      <w:pPr>
        <w:keepNext w:val="0"/>
        <w:keepLines w:val="0"/>
        <w:pageBreakBefore w:val="0"/>
        <w:widowControl w:val="0"/>
        <w:overflowPunct/>
        <w:bidi w:val="0"/>
      </w:pPr>
    </w:p>
    <w:p w14:paraId="3B7A3653">
      <w:pPr>
        <w:keepNext w:val="0"/>
        <w:keepLines w:val="0"/>
        <w:pageBreakBefore w:val="0"/>
        <w:widowControl w:val="0"/>
        <w:overflowPunct/>
        <w:bidi w:val="0"/>
      </w:pPr>
    </w:p>
    <w:p w14:paraId="2B44A654">
      <w:pPr>
        <w:keepNext w:val="0"/>
        <w:keepLines w:val="0"/>
        <w:pageBreakBefore w:val="0"/>
        <w:widowControl w:val="0"/>
        <w:overflowPunct/>
        <w:bidi w:val="0"/>
      </w:pPr>
    </w:p>
    <w:p w14:paraId="28F74211">
      <w:pPr>
        <w:keepNext w:val="0"/>
        <w:keepLines w:val="0"/>
        <w:pageBreakBefore w:val="0"/>
        <w:widowControl w:val="0"/>
        <w:overflowPunct/>
        <w:bidi w:val="0"/>
      </w:pPr>
    </w:p>
    <w:p w14:paraId="4BC7A9E2">
      <w:pPr>
        <w:keepNext w:val="0"/>
        <w:keepLines w:val="0"/>
        <w:pageBreakBefore w:val="0"/>
        <w:widowControl w:val="0"/>
        <w:overflowPunct/>
        <w:bidi w:val="0"/>
      </w:pPr>
    </w:p>
    <w:p w14:paraId="04A1DD86">
      <w:pPr>
        <w:keepNext w:val="0"/>
        <w:keepLines w:val="0"/>
        <w:pageBreakBefore w:val="0"/>
        <w:widowControl w:val="0"/>
        <w:overflowPunct/>
        <w:bidi w:val="0"/>
      </w:pPr>
    </w:p>
    <w:p w14:paraId="7A55389D">
      <w:pPr>
        <w:keepNext w:val="0"/>
        <w:keepLines w:val="0"/>
        <w:pageBreakBefore w:val="0"/>
        <w:widowControl w:val="0"/>
        <w:overflowPunct/>
        <w:bidi w:val="0"/>
      </w:pPr>
    </w:p>
    <w:p w14:paraId="1709248B">
      <w:pPr>
        <w:keepNext w:val="0"/>
        <w:keepLines w:val="0"/>
        <w:pageBreakBefore w:val="0"/>
        <w:widowControl w:val="0"/>
        <w:overflowPunct/>
        <w:bidi w:val="0"/>
      </w:pPr>
    </w:p>
    <w:p w14:paraId="6428F287">
      <w:pPr>
        <w:keepNext w:val="0"/>
        <w:keepLines w:val="0"/>
        <w:pageBreakBefore w:val="0"/>
        <w:widowControl w:val="0"/>
        <w:overflowPunct/>
        <w:bidi w:val="0"/>
        <w:sectPr>
          <w:footerReference r:id="rId5" w:type="default"/>
          <w:pgSz w:w="11906" w:h="16838"/>
          <w:pgMar w:top="2098" w:right="1474" w:bottom="1984" w:left="1587" w:header="851" w:footer="992" w:gutter="0"/>
          <w:pgNumType w:fmt="numberInDash"/>
          <w:cols w:space="425" w:num="1"/>
          <w:docGrid w:type="lines" w:linePitch="312" w:charSpace="0"/>
        </w:sectPr>
      </w:pPr>
    </w:p>
    <w:p w14:paraId="2DCEC2DC">
      <w:pPr>
        <w:keepNext w:val="0"/>
        <w:keepLines w:val="0"/>
        <w:pageBreakBefore w:val="0"/>
        <w:widowControl w:val="0"/>
        <w:overflowPunct/>
        <w:bidi w:val="0"/>
      </w:pPr>
    </w:p>
    <w:p w14:paraId="5AA53B21">
      <w:pPr>
        <w:keepNext w:val="0"/>
        <w:keepLines w:val="0"/>
        <w:pageBreakBefore w:val="0"/>
        <w:widowControl w:val="0"/>
        <w:overflowPunct/>
        <w:bidi w:val="0"/>
      </w:pPr>
    </w:p>
    <w:p w14:paraId="2C5C70C9">
      <w:pPr>
        <w:keepNext w:val="0"/>
        <w:keepLines w:val="0"/>
        <w:pageBreakBefore w:val="0"/>
        <w:widowControl w:val="0"/>
        <w:overflowPunct/>
        <w:bidi w:val="0"/>
      </w:pPr>
    </w:p>
    <w:p w14:paraId="00244851">
      <w:pPr>
        <w:keepNext w:val="0"/>
        <w:keepLines w:val="0"/>
        <w:pageBreakBefore w:val="0"/>
        <w:widowControl w:val="0"/>
        <w:overflowPunct/>
        <w:bidi w:val="0"/>
      </w:pPr>
    </w:p>
    <w:p w14:paraId="68D94A1F">
      <w:pPr>
        <w:keepNext w:val="0"/>
        <w:keepLines w:val="0"/>
        <w:pageBreakBefore w:val="0"/>
        <w:widowControl w:val="0"/>
        <w:overflowPunct/>
        <w:bidi w:val="0"/>
      </w:pPr>
    </w:p>
    <w:p w14:paraId="13226AE3">
      <w:pPr>
        <w:keepNext w:val="0"/>
        <w:keepLines w:val="0"/>
        <w:pageBreakBefore w:val="0"/>
        <w:widowControl w:val="0"/>
        <w:overflowPunct/>
        <w:bidi w:val="0"/>
      </w:pPr>
    </w:p>
    <w:p w14:paraId="5B86FB33">
      <w:pPr>
        <w:keepNext w:val="0"/>
        <w:keepLines w:val="0"/>
        <w:pageBreakBefore w:val="0"/>
        <w:widowControl w:val="0"/>
        <w:overflowPunct/>
        <w:bidi w:val="0"/>
      </w:pPr>
    </w:p>
    <w:p w14:paraId="5964E6B0">
      <w:pPr>
        <w:keepNext w:val="0"/>
        <w:keepLines w:val="0"/>
        <w:pageBreakBefore w:val="0"/>
        <w:widowControl w:val="0"/>
        <w:overflowPunct/>
        <w:bidi w:val="0"/>
      </w:pPr>
    </w:p>
    <w:p w14:paraId="5FE69ACA">
      <w:pPr>
        <w:keepNext w:val="0"/>
        <w:keepLines w:val="0"/>
        <w:pageBreakBefore w:val="0"/>
        <w:widowControl w:val="0"/>
        <w:overflowPunct/>
        <w:bidi w:val="0"/>
      </w:pPr>
    </w:p>
    <w:p w14:paraId="0A57619A">
      <w:pPr>
        <w:keepNext w:val="0"/>
        <w:keepLines w:val="0"/>
        <w:pageBreakBefore w:val="0"/>
        <w:widowControl w:val="0"/>
        <w:overflowPunct/>
        <w:bidi w:val="0"/>
      </w:pPr>
    </w:p>
    <w:p w14:paraId="55B85892">
      <w:pPr>
        <w:keepNext w:val="0"/>
        <w:keepLines w:val="0"/>
        <w:pageBreakBefore w:val="0"/>
        <w:widowControl w:val="0"/>
        <w:overflowPunct/>
        <w:bidi w:val="0"/>
      </w:pPr>
    </w:p>
    <w:p w14:paraId="39949E35">
      <w:pPr>
        <w:keepNext w:val="0"/>
        <w:keepLines w:val="0"/>
        <w:pageBreakBefore w:val="0"/>
        <w:widowControl w:val="0"/>
        <w:overflowPunct/>
        <w:bidi w:val="0"/>
      </w:pPr>
    </w:p>
    <w:p w14:paraId="7796EB98">
      <w:pPr>
        <w:keepNext w:val="0"/>
        <w:keepLines w:val="0"/>
        <w:pageBreakBefore w:val="0"/>
        <w:widowControl w:val="0"/>
        <w:overflowPunct/>
        <w:bidi w:val="0"/>
      </w:pPr>
    </w:p>
    <w:p w14:paraId="4615F09B">
      <w:pPr>
        <w:keepNext w:val="0"/>
        <w:keepLines w:val="0"/>
        <w:pageBreakBefore w:val="0"/>
        <w:widowControl w:val="0"/>
        <w:overflowPunct/>
        <w:bidi w:val="0"/>
      </w:pPr>
    </w:p>
    <w:p w14:paraId="48A49A56">
      <w:pPr>
        <w:keepNext w:val="0"/>
        <w:keepLines w:val="0"/>
        <w:pageBreakBefore w:val="0"/>
        <w:widowControl w:val="0"/>
        <w:overflowPunct/>
        <w:bidi w:val="0"/>
      </w:pPr>
    </w:p>
    <w:p w14:paraId="638946A8">
      <w:pPr>
        <w:keepNext w:val="0"/>
        <w:keepLines w:val="0"/>
        <w:pageBreakBefore w:val="0"/>
        <w:widowControl w:val="0"/>
        <w:overflowPunct/>
        <w:bidi w:val="0"/>
      </w:pPr>
    </w:p>
    <w:p w14:paraId="05DE559E">
      <w:pPr>
        <w:keepNext w:val="0"/>
        <w:keepLines w:val="0"/>
        <w:pageBreakBefore w:val="0"/>
        <w:widowControl w:val="0"/>
        <w:overflowPunct/>
        <w:bidi w:val="0"/>
      </w:pPr>
    </w:p>
    <w:p w14:paraId="395EF9FC">
      <w:pPr>
        <w:keepNext w:val="0"/>
        <w:keepLines w:val="0"/>
        <w:pageBreakBefore w:val="0"/>
        <w:widowControl w:val="0"/>
        <w:overflowPunct/>
        <w:bidi w:val="0"/>
      </w:pPr>
    </w:p>
    <w:p w14:paraId="5670E4B2">
      <w:pPr>
        <w:keepNext w:val="0"/>
        <w:keepLines w:val="0"/>
        <w:pageBreakBefore w:val="0"/>
        <w:widowControl w:val="0"/>
        <w:overflowPunct/>
        <w:bidi w:val="0"/>
      </w:pPr>
    </w:p>
    <w:p w14:paraId="30E09001">
      <w:pPr>
        <w:keepNext w:val="0"/>
        <w:keepLines w:val="0"/>
        <w:pageBreakBefore w:val="0"/>
        <w:widowControl w:val="0"/>
        <w:overflowPunct/>
        <w:bidi w:val="0"/>
      </w:pPr>
    </w:p>
    <w:p w14:paraId="26397130">
      <w:pPr>
        <w:keepNext w:val="0"/>
        <w:keepLines w:val="0"/>
        <w:pageBreakBefore w:val="0"/>
        <w:widowControl w:val="0"/>
        <w:overflowPunct/>
        <w:bidi w:val="0"/>
      </w:pPr>
    </w:p>
    <w:p w14:paraId="48EAF901">
      <w:pPr>
        <w:keepNext w:val="0"/>
        <w:keepLines w:val="0"/>
        <w:pageBreakBefore w:val="0"/>
        <w:widowControl w:val="0"/>
        <w:overflowPunct/>
        <w:bidi w:val="0"/>
      </w:pPr>
    </w:p>
    <w:p w14:paraId="0CD0F274">
      <w:pPr>
        <w:keepNext w:val="0"/>
        <w:keepLines w:val="0"/>
        <w:pageBreakBefore w:val="0"/>
        <w:widowControl w:val="0"/>
        <w:overflowPunct/>
        <w:bidi w:val="0"/>
      </w:pPr>
    </w:p>
    <w:p w14:paraId="69DA75FC">
      <w:pPr>
        <w:keepNext w:val="0"/>
        <w:keepLines w:val="0"/>
        <w:pageBreakBefore w:val="0"/>
        <w:widowControl w:val="0"/>
        <w:overflowPunct/>
        <w:bidi w:val="0"/>
      </w:pPr>
    </w:p>
    <w:p w14:paraId="514CF22A">
      <w:pPr>
        <w:keepNext w:val="0"/>
        <w:keepLines w:val="0"/>
        <w:pageBreakBefore w:val="0"/>
        <w:widowControl w:val="0"/>
        <w:overflowPunct/>
        <w:bidi w:val="0"/>
      </w:pPr>
    </w:p>
    <w:p w14:paraId="3673B69C">
      <w:pPr>
        <w:keepNext w:val="0"/>
        <w:keepLines w:val="0"/>
        <w:pageBreakBefore w:val="0"/>
        <w:widowControl w:val="0"/>
        <w:overflowPunct/>
        <w:bidi w:val="0"/>
      </w:pPr>
    </w:p>
    <w:p w14:paraId="28426236">
      <w:pPr>
        <w:keepNext w:val="0"/>
        <w:keepLines w:val="0"/>
        <w:pageBreakBefore w:val="0"/>
        <w:widowControl w:val="0"/>
        <w:overflowPunct/>
        <w:bidi w:val="0"/>
      </w:pPr>
    </w:p>
    <w:p w14:paraId="2E020292">
      <w:pPr>
        <w:keepNext w:val="0"/>
        <w:keepLines w:val="0"/>
        <w:pageBreakBefore w:val="0"/>
        <w:widowControl w:val="0"/>
        <w:overflowPunct/>
        <w:bidi w:val="0"/>
      </w:pPr>
    </w:p>
    <w:p w14:paraId="5910DB60">
      <w:pPr>
        <w:keepNext w:val="0"/>
        <w:keepLines w:val="0"/>
        <w:pageBreakBefore w:val="0"/>
        <w:widowControl w:val="0"/>
        <w:overflowPunct/>
        <w:bidi w:val="0"/>
      </w:pPr>
    </w:p>
    <w:p w14:paraId="47A64825">
      <w:pPr>
        <w:keepNext w:val="0"/>
        <w:keepLines w:val="0"/>
        <w:pageBreakBefore w:val="0"/>
        <w:widowControl w:val="0"/>
        <w:overflowPunct/>
        <w:bidi w:val="0"/>
      </w:pPr>
    </w:p>
    <w:p w14:paraId="56CA2D76">
      <w:pPr>
        <w:keepNext w:val="0"/>
        <w:keepLines w:val="0"/>
        <w:pageBreakBefore w:val="0"/>
        <w:widowControl w:val="0"/>
        <w:overflowPunct/>
        <w:bidi w:val="0"/>
      </w:pPr>
    </w:p>
    <w:p w14:paraId="540B5458">
      <w:pPr>
        <w:keepNext w:val="0"/>
        <w:keepLines w:val="0"/>
        <w:pageBreakBefore w:val="0"/>
        <w:widowControl w:val="0"/>
        <w:overflowPunct/>
        <w:bidi w:val="0"/>
      </w:pPr>
    </w:p>
    <w:p w14:paraId="79F6DC31">
      <w:pPr>
        <w:keepNext w:val="0"/>
        <w:keepLines w:val="0"/>
        <w:pageBreakBefore w:val="0"/>
        <w:widowControl w:val="0"/>
        <w:overflowPunct/>
        <w:bidi w:val="0"/>
      </w:pPr>
    </w:p>
    <w:p w14:paraId="02E3322A">
      <w:pPr>
        <w:keepNext w:val="0"/>
        <w:keepLines w:val="0"/>
        <w:pageBreakBefore w:val="0"/>
        <w:widowControl w:val="0"/>
        <w:overflowPunct/>
        <w:bidi w:val="0"/>
      </w:pPr>
    </w:p>
    <w:p w14:paraId="2138D684">
      <w:pPr>
        <w:keepNext w:val="0"/>
        <w:keepLines w:val="0"/>
        <w:pageBreakBefore w:val="0"/>
        <w:widowControl w:val="0"/>
        <w:overflowPunct/>
        <w:bidi w:val="0"/>
      </w:pPr>
    </w:p>
    <w:p w14:paraId="3BC21509">
      <w:pPr>
        <w:keepNext w:val="0"/>
        <w:keepLines w:val="0"/>
        <w:pageBreakBefore w:val="0"/>
        <w:widowControl w:val="0"/>
        <w:overflowPunct/>
        <w:bidi w:val="0"/>
      </w:pPr>
    </w:p>
    <w:p w14:paraId="1D4E621B">
      <w:pPr>
        <w:keepNext w:val="0"/>
        <w:keepLines w:val="0"/>
        <w:pageBreakBefore w:val="0"/>
        <w:widowControl w:val="0"/>
        <w:overflowPunct/>
        <w:bidi w:val="0"/>
      </w:pPr>
    </w:p>
    <w:p w14:paraId="76398CFF">
      <w:pPr>
        <w:keepNext w:val="0"/>
        <w:keepLines w:val="0"/>
        <w:pageBreakBefore w:val="0"/>
        <w:widowControl w:val="0"/>
        <w:pBdr>
          <w:bottom w:val="none" w:color="auto" w:sz="0" w:space="0"/>
        </w:pBdr>
        <w:overflowPunct/>
        <w:bidi w:val="0"/>
      </w:pPr>
    </w:p>
    <w:p w14:paraId="21FCEE9A">
      <w:pPr>
        <w:keepNext w:val="0"/>
        <w:keepLines w:val="0"/>
        <w:pageBreakBefore w:val="0"/>
        <w:widowControl w:val="0"/>
        <w:pBdr>
          <w:top w:val="single" w:color="auto" w:sz="4" w:space="0"/>
          <w:bottom w:val="single" w:color="auto" w:sz="4" w:space="0"/>
        </w:pBdr>
        <w:overflowPunct/>
        <w:bidi w:val="0"/>
        <w:ind w:firstLine="280" w:firstLineChars="100"/>
        <w:rPr>
          <w:rFonts w:hint="default"/>
          <w:lang w:val="en-US" w:eastAsia="zh-CN"/>
        </w:rPr>
      </w:pPr>
      <w:r>
        <w:rPr>
          <w:rFonts w:hint="eastAsia" w:ascii="仿宋" w:hAnsi="仿宋" w:eastAsia="仿宋" w:cs="仿宋"/>
          <w:sz w:val="28"/>
          <w:szCs w:val="28"/>
          <w:lang w:eastAsia="zh-CN"/>
        </w:rPr>
        <w:t>德安县人民政府办公室</w:t>
      </w:r>
      <w:r>
        <w:rPr>
          <w:rFonts w:hint="eastAsia" w:ascii="仿宋" w:hAnsi="仿宋" w:eastAsia="仿宋" w:cs="仿宋"/>
          <w:sz w:val="28"/>
          <w:szCs w:val="28"/>
          <w:lang w:val="en-US" w:eastAsia="zh-CN"/>
        </w:rPr>
        <w:t xml:space="preserve">                  2024年11月27日印发</w:t>
      </w:r>
    </w:p>
    <w:sectPr>
      <w:footerReference r:id="rId6"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B447AB-93AF-4223-84AD-162B766793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C078B84-C19D-4F40-8517-FFA7D3A5A075}"/>
  </w:font>
  <w:font w:name="仿宋">
    <w:panose1 w:val="02010609060101010101"/>
    <w:charset w:val="86"/>
    <w:family w:val="auto"/>
    <w:pitch w:val="default"/>
    <w:sig w:usb0="800002BF" w:usb1="38CF7CFA" w:usb2="00000016" w:usb3="00000000" w:csb0="00040001" w:csb1="00000000"/>
    <w:embedRegular r:id="rId3" w:fontKey="{462B9093-013C-4B70-844E-8FC7ADBC195D}"/>
  </w:font>
  <w:font w:name="仿宋_GB2312">
    <w:panose1 w:val="02010609030101010101"/>
    <w:charset w:val="86"/>
    <w:family w:val="auto"/>
    <w:pitch w:val="default"/>
    <w:sig w:usb0="00000001" w:usb1="080E0000" w:usb2="00000000" w:usb3="00000000" w:csb0="00040000" w:csb1="00000000"/>
    <w:embedRegular r:id="rId4" w:fontKey="{FD07D86A-119A-4EB4-A827-9C59AD667A9D}"/>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embedRegular r:id="rId5" w:fontKey="{2605C6D4-CFB0-43A4-8BDD-84F8910D13D3}"/>
  </w:font>
  <w:font w:name="楷体">
    <w:panose1 w:val="02010609060101010101"/>
    <w:charset w:val="86"/>
    <w:family w:val="auto"/>
    <w:pitch w:val="default"/>
    <w:sig w:usb0="800002BF" w:usb1="38CF7CFA" w:usb2="00000016" w:usb3="00000000" w:csb0="00040001" w:csb1="00000000"/>
    <w:embedRegular r:id="rId6" w:fontKey="{390818E3-9578-4A26-93C7-0E28BD520F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A8E1">
    <w:pPr>
      <w:spacing w:line="177" w:lineRule="auto"/>
      <w:ind w:left="750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4FD3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54FD3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5573">
    <w:pPr>
      <w:pStyle w:val="8"/>
    </w:pPr>
  </w:p>
  <w:p w14:paraId="06E6C9D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41A05">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441A05">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36DF">
    <w:pPr>
      <w:pStyle w:val="8"/>
    </w:pPr>
  </w:p>
  <w:p w14:paraId="086531D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538C">
    <w:pPr>
      <w:pStyle w:val="8"/>
    </w:pPr>
  </w:p>
  <w:p w14:paraId="7E65E19A">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Zjc3MmE4OTI2MGNmY2JkZTNhYTc5NThlMjcwNjgifQ=="/>
  </w:docVars>
  <w:rsids>
    <w:rsidRoot w:val="414E712E"/>
    <w:rsid w:val="0A921743"/>
    <w:rsid w:val="29BE73EE"/>
    <w:rsid w:val="34607122"/>
    <w:rsid w:val="414E712E"/>
    <w:rsid w:val="4BE80BB7"/>
    <w:rsid w:val="4BFF76BB"/>
    <w:rsid w:val="5F103E8F"/>
    <w:rsid w:val="6ADC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b/>
      <w:sz w:val="32"/>
    </w:rPr>
  </w:style>
  <w:style w:type="paragraph" w:styleId="4">
    <w:name w:val="heading 3"/>
    <w:basedOn w:val="1"/>
    <w:next w:val="1"/>
    <w:semiHidden/>
    <w:unhideWhenUsed/>
    <w:qFormat/>
    <w:uiPriority w:val="0"/>
    <w:pPr>
      <w:keepNext w:val="0"/>
      <w:keepLines w:val="0"/>
      <w:spacing w:before="260" w:beforeLines="0" w:beforeAutospacing="0" w:after="260" w:afterLines="0" w:afterAutospacing="0" w:line="413" w:lineRule="auto"/>
      <w:outlineLvl w:val="2"/>
    </w:pPr>
    <w:rPr>
      <w:rFonts w:ascii="Times New Roman" w:hAnsi="Times New Roman" w:eastAsia="黑体"/>
      <w:sz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eastAsia="仿宋"/>
      <w:sz w:val="32"/>
    </w:rPr>
  </w:style>
  <w:style w:type="paragraph" w:styleId="6">
    <w:name w:val="Body Text"/>
    <w:basedOn w:val="1"/>
    <w:qFormat/>
    <w:uiPriority w:val="99"/>
    <w:rPr>
      <w:rFonts w:ascii="宋体" w:hAnsi="宋体" w:cs="宋体"/>
      <w:sz w:val="24"/>
      <w:lang w:val="zh-CN"/>
    </w:rPr>
  </w:style>
  <w:style w:type="paragraph" w:styleId="7">
    <w:name w:val="Body Text Indent"/>
    <w:basedOn w:val="1"/>
    <w:next w:val="5"/>
    <w:qFormat/>
    <w:uiPriority w:val="0"/>
    <w:pPr>
      <w:ind w:firstLine="640" w:firstLineChars="200"/>
    </w:pPr>
    <w:rPr>
      <w:rFonts w:eastAsia="仿宋_GB2312"/>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next w:val="1"/>
    <w:qFormat/>
    <w:uiPriority w:val="0"/>
    <w:pPr>
      <w:spacing w:after="0"/>
      <w:ind w:firstLine="420" w:firstLineChars="200"/>
    </w:pPr>
    <w:rPr>
      <w:rFonts w:ascii="Calibri" w:hAnsi="Calibri" w:eastAsia="宋体" w:cs="Times New Roma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6018</Words>
  <Characters>6082</Characters>
  <Lines>0</Lines>
  <Paragraphs>0</Paragraphs>
  <TotalTime>4</TotalTime>
  <ScaleCrop>false</ScaleCrop>
  <LinksUpToDate>false</LinksUpToDate>
  <CharactersWithSpaces>6183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2024-11-18T00:36:00Z</dcterms:created>
  <dc:creator>红烧排骨酱醋鱼</dc:creator>
  <cp:lastModifiedBy>蕾蕾</cp:lastModifiedBy>
  <cp:lastPrinted>2024-11-27T03:42:33Z</cp:lastPrinted>
  <dcterms:modified xsi:type="dcterms:W3CDTF">2024-11-27T03:48:23Z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2F2459D67FE249CC86AE28E4E655BAF9_13</vt:lpwstr>
  </property>
</Properties>
</file>