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E98071">
      <w:pPr>
        <w:wordWrap w:val="0"/>
        <w:snapToGrid w:val="0"/>
        <w:spacing w:line="760" w:lineRule="exact"/>
        <w:jc w:val="right"/>
        <w:rPr>
          <w:rFonts w:hint="eastAsia" w:ascii="黑体" w:hAnsi="黑体" w:eastAsia="黑体" w:cs="黑体"/>
          <w:b w:val="0"/>
          <w:bCs/>
          <w:color w:val="000000"/>
          <w:sz w:val="32"/>
          <w:szCs w:val="32"/>
          <w:lang w:val="en-US" w:eastAsia="zh-CN"/>
        </w:rPr>
      </w:pPr>
    </w:p>
    <w:p w14:paraId="189DB2A6">
      <w:pPr>
        <w:wordWrap w:val="0"/>
        <w:jc w:val="right"/>
        <w:rPr>
          <w:rFonts w:hint="eastAsia" w:ascii="黑体" w:hAnsi="黑体" w:eastAsia="黑体"/>
          <w:sz w:val="32"/>
          <w:szCs w:val="32"/>
          <w:lang w:val="en-US" w:eastAsia="zh-CN"/>
        </w:rPr>
      </w:pPr>
    </w:p>
    <w:p w14:paraId="0A60DCA3"/>
    <w:p w14:paraId="5E43212C"/>
    <w:p w14:paraId="253A5239">
      <w:pPr>
        <w:jc w:val="distribute"/>
        <w:rPr>
          <w:rFonts w:eastAsia="方正大标宋简体"/>
          <w:color w:val="FF0000"/>
          <w:spacing w:val="-23"/>
          <w:w w:val="80"/>
          <w:sz w:val="96"/>
          <w:szCs w:val="96"/>
        </w:rPr>
      </w:pPr>
      <w:r>
        <w:rPr>
          <w:rFonts w:eastAsia="方正大标宋简体"/>
          <w:color w:val="FF0000"/>
          <w:spacing w:val="-23"/>
          <w:w w:val="80"/>
          <w:sz w:val="96"/>
          <w:szCs w:val="96"/>
        </w:rPr>
        <w:t>德安县</w:t>
      </w:r>
      <w:r>
        <w:rPr>
          <w:rFonts w:hint="eastAsia" w:eastAsia="方正大标宋简体"/>
          <w:color w:val="FF0000"/>
          <w:spacing w:val="-23"/>
          <w:w w:val="80"/>
          <w:sz w:val="96"/>
          <w:szCs w:val="96"/>
        </w:rPr>
        <w:t>人民政府办公室</w:t>
      </w:r>
      <w:r>
        <w:rPr>
          <w:rFonts w:eastAsia="方正大标宋简体"/>
          <w:color w:val="FF0000"/>
          <w:spacing w:val="-23"/>
          <w:w w:val="80"/>
          <w:sz w:val="96"/>
          <w:szCs w:val="96"/>
        </w:rPr>
        <w:t>文件</w:t>
      </w:r>
    </w:p>
    <w:p w14:paraId="598C9648">
      <w:pPr>
        <w:spacing w:line="700" w:lineRule="exact"/>
        <w:jc w:val="distribute"/>
        <w:rPr>
          <w:rFonts w:eastAsia="仿宋"/>
          <w:sz w:val="32"/>
          <w:szCs w:val="32"/>
        </w:rPr>
      </w:pPr>
    </w:p>
    <w:p w14:paraId="0CE3F53F">
      <w:pPr>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德府办</w:t>
      </w:r>
      <w:r>
        <w:rPr>
          <w:rFonts w:hint="eastAsia" w:ascii="Times New Roman" w:hAnsi="Times New Roman" w:eastAsia="仿宋" w:cs="Times New Roman"/>
          <w:sz w:val="32"/>
          <w:szCs w:val="32"/>
          <w:lang w:eastAsia="zh-CN"/>
        </w:rPr>
        <w:t>字</w:t>
      </w:r>
      <w:r>
        <w:rPr>
          <w:rFonts w:hint="default" w:ascii="Times New Roman" w:hAnsi="Times New Roman" w:eastAsia="仿宋" w:cs="Times New Roman"/>
          <w:sz w:val="32"/>
          <w:szCs w:val="32"/>
        </w:rPr>
        <w:t>〔20</w:t>
      </w:r>
      <w:r>
        <w:rPr>
          <w:rFonts w:hint="default" w:ascii="Times New Roman" w:hAnsi="Times New Roman" w:eastAsia="仿宋" w:cs="Times New Roman"/>
          <w:sz w:val="32"/>
          <w:szCs w:val="32"/>
          <w:lang w:val="en-US" w:eastAsia="zh-CN"/>
        </w:rPr>
        <w:t>24</w:t>
      </w:r>
      <w:r>
        <w:rPr>
          <w:rFonts w:hint="default" w:ascii="Times New Roman" w:hAnsi="Times New Roman" w:eastAsia="仿宋" w:cs="Times New Roman"/>
          <w:sz w:val="32"/>
          <w:szCs w:val="32"/>
        </w:rPr>
        <w:t>〕</w:t>
      </w:r>
      <w:r>
        <w:rPr>
          <w:rFonts w:hint="eastAsia" w:ascii="Times New Roman" w:hAnsi="Times New Roman" w:eastAsia="仿宋" w:cs="Times New Roman"/>
          <w:sz w:val="32"/>
          <w:szCs w:val="32"/>
          <w:lang w:val="en-US" w:eastAsia="zh-CN"/>
        </w:rPr>
        <w:t>54</w:t>
      </w:r>
      <w:r>
        <w:rPr>
          <w:rFonts w:hint="default" w:ascii="Times New Roman" w:hAnsi="Times New Roman" w:eastAsia="仿宋" w:cs="Times New Roman"/>
          <w:sz w:val="32"/>
          <w:szCs w:val="32"/>
        </w:rPr>
        <w:t>号</w:t>
      </w:r>
    </w:p>
    <w:p w14:paraId="2F1E25EF">
      <w:pPr>
        <w:spacing w:line="600" w:lineRule="exact"/>
        <w:jc w:val="center"/>
        <w:rPr>
          <w:rFonts w:eastAsia="方正小标宋简体"/>
          <w:sz w:val="44"/>
          <w:szCs w:val="44"/>
        </w:rPr>
      </w:pPr>
      <w:r>
        <w:rPr>
          <w:rFonts w:eastAsia="方正大标宋简体"/>
          <w:color w:val="FF0000"/>
          <w:spacing w:val="-18"/>
          <w:sz w:val="96"/>
          <w:szCs w:val="96"/>
        </w:rPr>
        <mc:AlternateContent>
          <mc:Choice Requires="wps">
            <w:drawing>
              <wp:anchor distT="0" distB="0" distL="114300" distR="114300" simplePos="0" relativeHeight="251660288" behindDoc="0" locked="0" layoutInCell="1" allowOverlap="1">
                <wp:simplePos x="0" y="0"/>
                <wp:positionH relativeFrom="column">
                  <wp:posOffset>55880</wp:posOffset>
                </wp:positionH>
                <wp:positionV relativeFrom="paragraph">
                  <wp:posOffset>43815</wp:posOffset>
                </wp:positionV>
                <wp:extent cx="5535295" cy="0"/>
                <wp:effectExtent l="0" t="12700" r="8255" b="15875"/>
                <wp:wrapNone/>
                <wp:docPr id="5" name="直接连接符 5"/>
                <wp:cNvGraphicFramePr/>
                <a:graphic xmlns:a="http://schemas.openxmlformats.org/drawingml/2006/main">
                  <a:graphicData uri="http://schemas.microsoft.com/office/word/2010/wordprocessingShape">
                    <wps:wsp>
                      <wps:cNvCnPr/>
                      <wps:spPr>
                        <a:xfrm>
                          <a:off x="0" y="0"/>
                          <a:ext cx="5535295" cy="0"/>
                        </a:xfrm>
                        <a:prstGeom prst="line">
                          <a:avLst/>
                        </a:prstGeom>
                        <a:ln w="2540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4.4pt;margin-top:3.45pt;height:0pt;width:435.85pt;z-index:251660288;mso-width-relative:page;mso-height-relative:page;" filled="f" stroked="t" coordsize="21600,21600" o:gfxdata="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RV9kXSAAAABQEAAA8AAAAAAAAAAQAgAAAAIgAAAGRycy9kb3ducmV2LnhtbFBL&#10;AQIUABQAAAAIAIdO4kDYGsB2/AEAAPMDAAAOAAAAAAAAAAEAIAAAACEBAABkcnMvZTJvRG9jLnht&#10;bFBLBQYAAAAABgAGAFkBAACPBQAAAAA=&#10;">
                <v:fill on="f" focussize="0,0"/>
                <v:stroke weight="2pt" color="#FF0000" joinstyle="round"/>
                <v:imagedata o:title=""/>
                <o:lock v:ext="edit" aspectratio="f"/>
              </v:line>
            </w:pict>
          </mc:Fallback>
        </mc:AlternateContent>
      </w:r>
    </w:p>
    <w:p w14:paraId="445FB232">
      <w:pPr>
        <w:keepNext w:val="0"/>
        <w:keepLines w:val="0"/>
        <w:pageBreakBefore w:val="0"/>
        <w:kinsoku/>
        <w:wordWrap/>
        <w:overflowPunct/>
        <w:topLinePunct w:val="0"/>
        <w:bidi w:val="0"/>
        <w:spacing w:line="60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德安县人民政府办公室印发关于进一步促进</w:t>
      </w:r>
    </w:p>
    <w:p w14:paraId="5BAB2C26">
      <w:pPr>
        <w:keepNext w:val="0"/>
        <w:keepLines w:val="0"/>
        <w:pageBreakBefore w:val="0"/>
        <w:kinsoku/>
        <w:wordWrap/>
        <w:overflowPunct/>
        <w:topLinePunct w:val="0"/>
        <w:bidi w:val="0"/>
        <w:spacing w:line="60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德安县房地产市场良性循环和平稳健康</w:t>
      </w:r>
    </w:p>
    <w:p w14:paraId="31DDF8FA">
      <w:pPr>
        <w:keepNext w:val="0"/>
        <w:keepLines w:val="0"/>
        <w:pageBreakBefore w:val="0"/>
        <w:kinsoku/>
        <w:wordWrap/>
        <w:overflowPunct/>
        <w:topLinePunct w:val="0"/>
        <w:bidi w:val="0"/>
        <w:spacing w:line="600" w:lineRule="exact"/>
        <w:jc w:val="center"/>
        <w:rPr>
          <w:rFonts w:hint="eastAsia" w:ascii="方正小标宋简体" w:hAnsi="方正小标宋简体" w:eastAsia="方正小标宋简体" w:cs="方正小标宋简体"/>
          <w:color w:val="auto"/>
          <w:sz w:val="44"/>
          <w:szCs w:val="44"/>
          <w:lang w:eastAsia="zh-CN"/>
        </w:rPr>
      </w:pPr>
      <w:bookmarkStart w:id="0" w:name="_GoBack"/>
      <w:bookmarkEnd w:id="0"/>
      <w:r>
        <w:rPr>
          <w:rFonts w:hint="eastAsia" w:ascii="方正小标宋简体" w:hAnsi="方正小标宋简体" w:eastAsia="方正小标宋简体" w:cs="方正小标宋简体"/>
          <w:color w:val="auto"/>
          <w:sz w:val="44"/>
          <w:szCs w:val="44"/>
          <w:lang w:eastAsia="zh-CN"/>
        </w:rPr>
        <w:t>发展的若干措施</w:t>
      </w:r>
      <w:r>
        <w:rPr>
          <w:rFonts w:hint="eastAsia" w:ascii="方正小标宋简体" w:hAnsi="方正小标宋简体" w:eastAsia="方正小标宋简体" w:cs="方正小标宋简体"/>
          <w:color w:val="auto"/>
          <w:sz w:val="44"/>
          <w:szCs w:val="44"/>
          <w:lang w:eastAsia="zh-CN"/>
        </w:rPr>
        <w:t>的通知</w:t>
      </w:r>
    </w:p>
    <w:p w14:paraId="3D16E0B5">
      <w:pPr>
        <w:keepNext w:val="0"/>
        <w:keepLines w:val="0"/>
        <w:pageBreakBefore w:val="0"/>
        <w:kinsoku/>
        <w:wordWrap/>
        <w:overflowPunct/>
        <w:topLinePunct w:val="0"/>
        <w:bidi w:val="0"/>
        <w:spacing w:line="600" w:lineRule="exact"/>
        <w:rPr>
          <w:rFonts w:hint="eastAsia" w:ascii="仿宋_GB2312" w:hAnsi="仿宋_GB2312" w:eastAsia="仿宋_GB2312" w:cs="仿宋_GB2312"/>
          <w:color w:val="auto"/>
          <w:sz w:val="32"/>
          <w:szCs w:val="32"/>
        </w:rPr>
      </w:pPr>
    </w:p>
    <w:p w14:paraId="411078B6">
      <w:pPr>
        <w:keepNext w:val="0"/>
        <w:keepLines w:val="0"/>
        <w:pageBreakBefore w:val="0"/>
        <w:kinsoku/>
        <w:wordWrap/>
        <w:overflowPunct/>
        <w:topLinePunct w:val="0"/>
        <w:bidi w:val="0"/>
        <w:spacing w:line="6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人民政府，</w:t>
      </w:r>
      <w:r>
        <w:rPr>
          <w:rFonts w:hint="eastAsia" w:ascii="仿宋_GB2312" w:hAnsi="仿宋_GB2312" w:eastAsia="仿宋_GB2312" w:cs="仿宋_GB2312"/>
          <w:color w:val="auto"/>
          <w:sz w:val="32"/>
          <w:szCs w:val="32"/>
          <w:lang w:eastAsia="zh-CN"/>
        </w:rPr>
        <w:t>县政府有关部门</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县直及驻县有关单位：</w:t>
      </w:r>
    </w:p>
    <w:p w14:paraId="1AEF6642">
      <w:pPr>
        <w:keepNext w:val="0"/>
        <w:keepLines w:val="0"/>
        <w:pageBreakBefore w:val="0"/>
        <w:kinsoku/>
        <w:wordWrap/>
        <w:overflowPunct/>
        <w:topLinePunct w:val="0"/>
        <w:bidi w:val="0"/>
        <w:spacing w:line="600" w:lineRule="exact"/>
        <w:ind w:left="0"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《关于进一步促进德安县房地产市场良性循环和平稳健康发展的若干措施</w:t>
      </w:r>
      <w:r>
        <w:rPr>
          <w:rFonts w:hint="eastAsia" w:ascii="仿宋_GB2312" w:hAnsi="仿宋_GB2312" w:eastAsia="仿宋_GB2312" w:cs="仿宋_GB2312"/>
          <w:color w:val="auto"/>
          <w:sz w:val="32"/>
          <w:szCs w:val="32"/>
          <w:lang w:eastAsia="zh-CN"/>
        </w:rPr>
        <w:t>》已经县政府研究同意，现印发给你们，请认真贯彻执行。</w:t>
      </w:r>
    </w:p>
    <w:p w14:paraId="6C53367C">
      <w:pPr>
        <w:pStyle w:val="2"/>
        <w:keepNext w:val="0"/>
        <w:keepLines w:val="0"/>
        <w:pageBreakBefore w:val="0"/>
        <w:widowControl w:val="0"/>
        <w:kinsoku/>
        <w:wordWrap/>
        <w:overflowPunct/>
        <w:topLinePunct w:val="0"/>
        <w:autoSpaceDE/>
        <w:autoSpaceDN/>
        <w:bidi w:val="0"/>
        <w:adjustRightInd/>
        <w:snapToGrid/>
        <w:spacing w:line="700" w:lineRule="exact"/>
        <w:ind w:firstLine="482"/>
        <w:textAlignment w:val="auto"/>
        <w:rPr>
          <w:rFonts w:hint="eastAsia"/>
        </w:rPr>
      </w:pPr>
    </w:p>
    <w:p w14:paraId="69AE0CEE">
      <w:pPr>
        <w:keepNext w:val="0"/>
        <w:keepLines w:val="0"/>
        <w:pageBreakBefore w:val="0"/>
        <w:kinsoku/>
        <w:wordWrap w:val="0"/>
        <w:overflowPunct/>
        <w:topLinePunct w:val="0"/>
        <w:bidi w:val="0"/>
        <w:spacing w:line="600" w:lineRule="exact"/>
        <w:ind w:left="0" w:firstLine="640" w:firstLineChars="200"/>
        <w:jc w:val="right"/>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29</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lang w:val="en-US" w:eastAsia="zh-CN"/>
        </w:rPr>
        <w:t xml:space="preserve">        </w:t>
      </w:r>
    </w:p>
    <w:p w14:paraId="38DCD649">
      <w:pPr>
        <w:keepNext w:val="0"/>
        <w:keepLines w:val="0"/>
        <w:pageBreakBefore w:val="0"/>
        <w:kinsoku/>
        <w:wordWrap/>
        <w:overflowPunct/>
        <w:topLinePunct w:val="0"/>
        <w:bidi w:val="0"/>
        <w:spacing w:line="600" w:lineRule="exact"/>
        <w:ind w:left="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（此件</w:t>
      </w:r>
      <w:r>
        <w:rPr>
          <w:rFonts w:hint="eastAsia" w:ascii="仿宋_GB2312" w:hAnsi="仿宋_GB2312" w:eastAsia="仿宋_GB2312" w:cs="仿宋_GB2312"/>
          <w:color w:val="auto"/>
          <w:sz w:val="32"/>
          <w:szCs w:val="32"/>
          <w:lang w:eastAsia="zh-CN"/>
        </w:rPr>
        <w:t>主动公开</w:t>
      </w:r>
      <w:r>
        <w:rPr>
          <w:rFonts w:hint="eastAsia" w:ascii="仿宋_GB2312" w:hAnsi="仿宋_GB2312" w:eastAsia="仿宋_GB2312" w:cs="仿宋_GB2312"/>
          <w:color w:val="auto"/>
          <w:sz w:val="32"/>
          <w:szCs w:val="32"/>
        </w:rPr>
        <w:t>）</w:t>
      </w:r>
    </w:p>
    <w:p w14:paraId="232027E5">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关于进一步促进德安县房地产市场良性循环和平稳健康发展的若干措施</w:t>
      </w:r>
    </w:p>
    <w:p w14:paraId="6BA2426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textAlignment w:val="auto"/>
        <w:rPr>
          <w:rFonts w:hint="eastAsia" w:ascii="仿宋" w:hAnsi="仿宋" w:eastAsia="仿宋" w:cs="仿宋"/>
          <w:b w:val="0"/>
          <w:bCs w:val="0"/>
          <w:sz w:val="32"/>
          <w:szCs w:val="32"/>
          <w:lang w:eastAsia="zh-CN"/>
        </w:rPr>
      </w:pPr>
    </w:p>
    <w:p w14:paraId="1412A63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rPr>
          <w:rFonts w:hint="eastAsia" w:ascii="仿宋" w:hAnsi="仿宋" w:eastAsia="仿宋" w:cs="仿宋"/>
          <w:b/>
          <w:bCs/>
          <w:color w:val="FF0000"/>
          <w:sz w:val="32"/>
          <w:szCs w:val="32"/>
          <w:lang w:val="en-US" w:eastAsia="zh-CN"/>
        </w:rPr>
      </w:pPr>
      <w:r>
        <w:rPr>
          <w:rFonts w:hint="eastAsia" w:ascii="仿宋" w:hAnsi="仿宋" w:eastAsia="仿宋" w:cs="仿宋"/>
          <w:b w:val="0"/>
          <w:bCs w:val="0"/>
          <w:sz w:val="32"/>
          <w:szCs w:val="32"/>
          <w:lang w:eastAsia="zh-CN"/>
        </w:rPr>
        <w:t>为深入贯彻落实党中央、国务院关于房地产市场发展的决策部署，进一步构建房地产发展新模式，激发市场活力，促进我县房地产市场良性循环和平稳健康发展，根据九江市人民政府办公室印发《关于进一步促进九江市房地产市场良性循环和平稳健康发展的若干措施》（九府办发〔2024〕20号）精神，结合我县实际，制定如下措施：</w:t>
      </w:r>
    </w:p>
    <w:p w14:paraId="4467F0C2">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b/>
          <w:bCs/>
          <w:lang w:val="en-US" w:eastAsia="zh-CN"/>
        </w:rPr>
      </w:pPr>
      <w:r>
        <w:rPr>
          <w:rFonts w:hint="eastAsia" w:ascii="黑体" w:hAnsi="黑体" w:eastAsia="黑体" w:cs="黑体"/>
          <w:b w:val="0"/>
          <w:bCs w:val="0"/>
          <w:sz w:val="32"/>
          <w:szCs w:val="32"/>
          <w:lang w:val="en-US" w:eastAsia="zh-CN"/>
        </w:rPr>
        <w:t>一</w:t>
      </w:r>
      <w:r>
        <w:rPr>
          <w:rFonts w:hint="eastAsia" w:ascii="黑体" w:hAnsi="黑体" w:eastAsia="黑体" w:cs="黑体"/>
          <w:b w:val="0"/>
          <w:bCs w:val="0"/>
          <w:sz w:val="32"/>
          <w:szCs w:val="32"/>
        </w:rPr>
        <w:t>、实行“房票”安置政策。</w:t>
      </w:r>
      <w:r>
        <w:rPr>
          <w:rFonts w:hint="eastAsia" w:ascii="仿宋" w:hAnsi="仿宋" w:eastAsia="仿宋" w:cs="仿宋"/>
          <w:sz w:val="32"/>
          <w:szCs w:val="32"/>
        </w:rPr>
        <w:t>在城镇开发边界范围内，除国家规定必须新建的外，一律停止新建安置房，实行房票安置政策。确需实物安置的，原则上以购买存量新建商品住房方式予以安置。房票实行实名制管理，用于购买新建商品房，初始持有人为房屋被征收人，可转让一次，转让时应到房屋征收部门办理备案手续。房票票面总额为被征收房屋货币补偿款</w:t>
      </w:r>
      <w:r>
        <w:rPr>
          <w:rFonts w:hint="eastAsia" w:ascii="仿宋" w:hAnsi="仿宋" w:eastAsia="仿宋" w:cs="仿宋"/>
          <w:sz w:val="32"/>
          <w:szCs w:val="32"/>
          <w:lang w:val="en-US" w:eastAsia="zh-CN"/>
        </w:rPr>
        <w:t>+</w:t>
      </w:r>
      <w:r>
        <w:rPr>
          <w:rFonts w:hint="eastAsia" w:ascii="仿宋" w:hAnsi="仿宋" w:eastAsia="仿宋" w:cs="仿宋"/>
          <w:sz w:val="32"/>
          <w:szCs w:val="32"/>
        </w:rPr>
        <w:t>房票购房奖励。搬迁奖励、临时安置费、装修补偿等其他费用不计入房票票面总额，仍按原渠道以现金形式发放。房票购房奖励最高为该房票房屋货币补偿款的</w:t>
      </w:r>
      <w:r>
        <w:rPr>
          <w:rFonts w:hint="eastAsia" w:ascii="仿宋" w:hAnsi="仿宋" w:eastAsia="仿宋" w:cs="仿宋"/>
          <w:sz w:val="32"/>
          <w:szCs w:val="32"/>
          <w:lang w:val="en-US" w:eastAsia="zh-CN"/>
        </w:rPr>
        <w:t>15</w:t>
      </w:r>
      <w:r>
        <w:rPr>
          <w:rFonts w:hint="eastAsia" w:ascii="仿宋" w:hAnsi="仿宋" w:eastAsia="仿宋" w:cs="仿宋"/>
          <w:sz w:val="32"/>
          <w:szCs w:val="32"/>
        </w:rPr>
        <w:t>％（其中最高5％由所购新建商品房的房地产开发企业承担），以开具房票时间至购房时间（商品房合同备案时间）分阶段递减，超过12个月购房不再享受。房票不找零，一张房票可用于购买一套或同一项目多套商品房，也可多张房票购买一套商品房。由自愿承担房票购房奖励的房地产开发企业自主提出房票使用申请并做出保交房承诺，经</w:t>
      </w:r>
      <w:r>
        <w:rPr>
          <w:rFonts w:hint="eastAsia" w:ascii="仿宋" w:hAnsi="仿宋" w:eastAsia="仿宋" w:cs="仿宋"/>
          <w:sz w:val="32"/>
          <w:szCs w:val="32"/>
          <w:lang w:eastAsia="zh-CN"/>
        </w:rPr>
        <w:t>县</w:t>
      </w:r>
      <w:r>
        <w:rPr>
          <w:rFonts w:hint="eastAsia" w:ascii="仿宋" w:hAnsi="仿宋" w:eastAsia="仿宋" w:cs="仿宋"/>
          <w:sz w:val="32"/>
          <w:szCs w:val="32"/>
        </w:rPr>
        <w:t>住建</w:t>
      </w:r>
      <w:r>
        <w:rPr>
          <w:rFonts w:hint="eastAsia" w:ascii="仿宋" w:hAnsi="仿宋" w:eastAsia="仿宋" w:cs="仿宋"/>
          <w:sz w:val="32"/>
          <w:szCs w:val="32"/>
          <w:lang w:eastAsia="zh-CN"/>
        </w:rPr>
        <w:t>局</w:t>
      </w:r>
      <w:r>
        <w:rPr>
          <w:rFonts w:hint="eastAsia" w:ascii="仿宋" w:hAnsi="仿宋" w:eastAsia="仿宋" w:cs="仿宋"/>
          <w:sz w:val="32"/>
          <w:szCs w:val="32"/>
        </w:rPr>
        <w:t>审核、汇总后向社会公示。房地产开发企业收取的房票，按相关政策进行兑现。</w:t>
      </w:r>
      <w:r>
        <w:rPr>
          <w:rFonts w:hint="eastAsia" w:ascii="仿宋" w:hAnsi="仿宋" w:eastAsia="仿宋" w:cs="仿宋"/>
          <w:b/>
          <w:bCs/>
          <w:sz w:val="32"/>
          <w:szCs w:val="32"/>
        </w:rPr>
        <w:t>（责任单位：县住建局、县自然资源局</w:t>
      </w:r>
      <w:r>
        <w:rPr>
          <w:rFonts w:hint="eastAsia" w:ascii="仿宋" w:hAnsi="仿宋" w:eastAsia="仿宋" w:cs="仿宋"/>
          <w:b/>
          <w:bCs/>
          <w:sz w:val="32"/>
          <w:szCs w:val="32"/>
          <w:lang w:eastAsia="zh-CN"/>
        </w:rPr>
        <w:t>、</w:t>
      </w:r>
      <w:r>
        <w:rPr>
          <w:rFonts w:hint="eastAsia" w:ascii="仿宋" w:hAnsi="仿宋" w:eastAsia="仿宋" w:cs="仿宋"/>
          <w:b/>
          <w:bCs/>
          <w:sz w:val="32"/>
          <w:szCs w:val="32"/>
        </w:rPr>
        <w:t>县财政局）</w:t>
      </w:r>
    </w:p>
    <w:p w14:paraId="463B8177">
      <w:pPr>
        <w:pStyle w:val="5"/>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rPr>
          <w:rFonts w:hint="eastAsia" w:ascii="仿宋" w:hAnsi="仿宋" w:eastAsia="仿宋" w:cs="仿宋"/>
          <w:b/>
          <w:bCs/>
          <w:sz w:val="32"/>
          <w:szCs w:val="32"/>
          <w:lang w:val="en-US" w:eastAsia="zh-CN"/>
        </w:rPr>
      </w:pPr>
      <w:r>
        <w:rPr>
          <w:rFonts w:hint="eastAsia" w:ascii="黑体" w:hAnsi="黑体" w:eastAsia="黑体" w:cs="黑体"/>
          <w:b w:val="0"/>
          <w:bCs w:val="0"/>
          <w:kern w:val="2"/>
          <w:sz w:val="32"/>
          <w:szCs w:val="32"/>
          <w:lang w:val="en-US" w:eastAsia="zh-CN" w:bidi="ar-SA"/>
        </w:rPr>
        <w:t>二、开展购房促销活动。</w:t>
      </w:r>
      <w:r>
        <w:rPr>
          <w:rFonts w:hint="eastAsia" w:ascii="仿宋" w:hAnsi="仿宋" w:eastAsia="仿宋" w:cs="仿宋"/>
          <w:sz w:val="32"/>
          <w:szCs w:val="32"/>
          <w:lang w:val="en-US" w:eastAsia="zh-CN"/>
        </w:rPr>
        <w:t>自2024年9月1日起至2024年12月31日期间，在本县购买新建商品住房的，开展“买房抽大奖”活动，每完成新建商品住房网签100套，组织开展一期抽奖活动(原则上不超过3期)。每期抽奖活动设特等奖1名(奖现金10万元)、一等奖2名(奖现金4万元)、二等奖3名(奖现金2万元)、三等奖6名(奖现金1万元)，抽奖活动以具体实施细则为准。</w:t>
      </w:r>
      <w:r>
        <w:rPr>
          <w:rFonts w:hint="eastAsia" w:ascii="仿宋" w:hAnsi="仿宋" w:eastAsia="仿宋" w:cs="仿宋"/>
          <w:b/>
          <w:bCs/>
          <w:sz w:val="32"/>
          <w:szCs w:val="32"/>
          <w:lang w:val="en-US" w:eastAsia="zh-CN"/>
        </w:rPr>
        <w:t>(责任单位:县住建局、县财政局、县司法局、县融媒体中心)</w:t>
      </w:r>
    </w:p>
    <w:p w14:paraId="51737042">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b/>
          <w:bCs/>
          <w:sz w:val="32"/>
          <w:szCs w:val="32"/>
        </w:rPr>
      </w:pPr>
      <w:r>
        <w:rPr>
          <w:rFonts w:hint="eastAsia" w:ascii="黑体" w:hAnsi="黑体" w:eastAsia="黑体" w:cs="黑体"/>
          <w:b w:val="0"/>
          <w:bCs w:val="0"/>
          <w:sz w:val="32"/>
          <w:szCs w:val="32"/>
          <w:lang w:val="en-US" w:eastAsia="zh-CN"/>
        </w:rPr>
        <w:t>三、支持城市住房“以旧换新”。</w:t>
      </w:r>
      <w:r>
        <w:rPr>
          <w:rFonts w:hint="eastAsia" w:ascii="仿宋" w:hAnsi="仿宋" w:eastAsia="仿宋" w:cs="仿宋"/>
          <w:sz w:val="32"/>
          <w:szCs w:val="32"/>
        </w:rPr>
        <w:t>积极引导房地产开发企业、房地产经纪机构、购房者三方联动，通过市场化交易模式实现城市住房“以旧换新”。政府财政补贴和银行业金融机构信贷支持下，由房企和居民按照市场化原则进行“以居民旧房置换房企定向新房”，旧房可由房企直接购买，也可委托房企包销，由第三方购买，有关部门按照实际交易情况为买卖双方办理房屋网签备案、不动产登记和纳税服务。对自本措施发布之日起，至2025年12月31日前，完成卖旧买新的购房者，其所购买的新建商品住房可按首套房享受首付比和按揭利率优惠。鼓励银行金融机构支持国有企业、地方政策性住房经营主体、住房租赁企业、房地产开发企业、物业服务企业等收购存量住房用于保障性租赁住房、人才住房、市场租赁房、文旅民宿、公寓等。</w:t>
      </w:r>
      <w:r>
        <w:rPr>
          <w:rFonts w:hint="eastAsia" w:ascii="仿宋" w:hAnsi="仿宋" w:eastAsia="仿宋" w:cs="仿宋"/>
          <w:b/>
          <w:bCs/>
          <w:sz w:val="32"/>
          <w:szCs w:val="32"/>
        </w:rPr>
        <w:t>（责任单位：县住建局、</w:t>
      </w:r>
      <w:r>
        <w:rPr>
          <w:rFonts w:hint="eastAsia" w:ascii="仿宋" w:hAnsi="仿宋" w:eastAsia="仿宋" w:cs="仿宋"/>
          <w:b/>
          <w:bCs/>
          <w:sz w:val="32"/>
          <w:szCs w:val="32"/>
          <w:lang w:eastAsia="zh-CN"/>
        </w:rPr>
        <w:t>县委组织部、</w:t>
      </w:r>
      <w:r>
        <w:rPr>
          <w:rFonts w:hint="eastAsia" w:ascii="仿宋" w:hAnsi="仿宋" w:eastAsia="仿宋" w:cs="仿宋"/>
          <w:b/>
          <w:bCs/>
          <w:sz w:val="32"/>
          <w:szCs w:val="32"/>
        </w:rPr>
        <w:t>国家金融监督管理总局德安监管支局</w:t>
      </w:r>
      <w:r>
        <w:rPr>
          <w:rFonts w:hint="eastAsia" w:ascii="仿宋" w:hAnsi="仿宋" w:eastAsia="仿宋" w:cs="仿宋"/>
          <w:b/>
          <w:bCs/>
          <w:sz w:val="32"/>
          <w:szCs w:val="32"/>
          <w:lang w:eastAsia="zh-CN"/>
        </w:rPr>
        <w:t>、</w:t>
      </w:r>
      <w:r>
        <w:rPr>
          <w:rFonts w:hint="eastAsia" w:ascii="仿宋" w:hAnsi="仿宋" w:eastAsia="仿宋" w:cs="仿宋"/>
          <w:b/>
          <w:bCs/>
          <w:sz w:val="32"/>
          <w:szCs w:val="32"/>
        </w:rPr>
        <w:t>县税务局、县财政局、县文旅</w:t>
      </w:r>
      <w:r>
        <w:rPr>
          <w:rFonts w:hint="eastAsia" w:ascii="仿宋" w:hAnsi="仿宋" w:eastAsia="仿宋" w:cs="仿宋"/>
          <w:b/>
          <w:bCs/>
          <w:sz w:val="32"/>
          <w:szCs w:val="32"/>
          <w:lang w:eastAsia="zh-CN"/>
        </w:rPr>
        <w:t>局</w:t>
      </w:r>
      <w:r>
        <w:rPr>
          <w:rFonts w:hint="eastAsia" w:ascii="仿宋" w:hAnsi="仿宋" w:eastAsia="仿宋" w:cs="仿宋"/>
          <w:b/>
          <w:bCs/>
          <w:sz w:val="32"/>
          <w:szCs w:val="32"/>
        </w:rPr>
        <w:t>）</w:t>
      </w:r>
    </w:p>
    <w:p w14:paraId="4A7C5E03">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rPr>
      </w:pPr>
      <w:r>
        <w:rPr>
          <w:rFonts w:hint="eastAsia" w:ascii="黑体" w:hAnsi="黑体" w:eastAsia="黑体" w:cs="黑体"/>
          <w:b w:val="0"/>
          <w:bCs w:val="0"/>
          <w:sz w:val="32"/>
          <w:szCs w:val="32"/>
          <w:lang w:val="en-US" w:eastAsia="zh-CN"/>
        </w:rPr>
        <w:t>四、落实交易税费优惠政策。</w:t>
      </w:r>
      <w:r>
        <w:rPr>
          <w:rFonts w:hint="eastAsia" w:ascii="仿宋" w:hAnsi="仿宋" w:eastAsia="仿宋" w:cs="仿宋"/>
          <w:sz w:val="32"/>
          <w:szCs w:val="32"/>
        </w:rPr>
        <w:t>落实居民个人换购住房个人所得税政策，自2022年10月1日至2025年12月31日，纳税人出售自有住房并在现住房出售后1年内，在本县重新购买住房的，可按规定申请退还其出售现住房已缴纳的个人所得税。如市场价格连续3个月环比下降且累计幅度超过10％，</w:t>
      </w:r>
      <w:r>
        <w:rPr>
          <w:rFonts w:hint="eastAsia" w:ascii="仿宋" w:hAnsi="仿宋" w:eastAsia="仿宋" w:cs="仿宋"/>
          <w:sz w:val="32"/>
          <w:szCs w:val="32"/>
          <w:lang w:eastAsia="zh-CN"/>
        </w:rPr>
        <w:t>县</w:t>
      </w:r>
      <w:r>
        <w:rPr>
          <w:rFonts w:hint="eastAsia" w:ascii="仿宋" w:hAnsi="仿宋" w:eastAsia="仿宋" w:cs="仿宋"/>
          <w:sz w:val="32"/>
          <w:szCs w:val="32"/>
        </w:rPr>
        <w:t>税</w:t>
      </w:r>
      <w:r>
        <w:rPr>
          <w:rFonts w:hint="eastAsia" w:ascii="仿宋" w:hAnsi="仿宋" w:eastAsia="仿宋" w:cs="仿宋"/>
          <w:sz w:val="32"/>
          <w:szCs w:val="32"/>
          <w:lang w:eastAsia="zh-CN"/>
        </w:rPr>
        <w:t>务局</w:t>
      </w:r>
      <w:r>
        <w:rPr>
          <w:rFonts w:hint="eastAsia" w:ascii="仿宋" w:hAnsi="仿宋" w:eastAsia="仿宋" w:cs="仿宋"/>
          <w:sz w:val="32"/>
          <w:szCs w:val="32"/>
        </w:rPr>
        <w:t>会同</w:t>
      </w:r>
      <w:r>
        <w:rPr>
          <w:rFonts w:hint="eastAsia" w:ascii="仿宋" w:hAnsi="仿宋" w:eastAsia="仿宋" w:cs="仿宋"/>
          <w:sz w:val="32"/>
          <w:szCs w:val="32"/>
          <w:lang w:eastAsia="zh-CN"/>
        </w:rPr>
        <w:t>县</w:t>
      </w:r>
      <w:r>
        <w:rPr>
          <w:rFonts w:hint="eastAsia" w:ascii="仿宋" w:hAnsi="仿宋" w:eastAsia="仿宋" w:cs="仿宋"/>
          <w:sz w:val="32"/>
          <w:szCs w:val="32"/>
        </w:rPr>
        <w:t>住建</w:t>
      </w:r>
      <w:r>
        <w:rPr>
          <w:rFonts w:hint="eastAsia" w:ascii="仿宋" w:hAnsi="仿宋" w:eastAsia="仿宋" w:cs="仿宋"/>
          <w:sz w:val="32"/>
          <w:szCs w:val="32"/>
          <w:lang w:eastAsia="zh-CN"/>
        </w:rPr>
        <w:t>局</w:t>
      </w:r>
      <w:r>
        <w:rPr>
          <w:rFonts w:hint="eastAsia" w:ascii="仿宋" w:hAnsi="仿宋" w:eastAsia="仿宋" w:cs="仿宋"/>
          <w:sz w:val="32"/>
          <w:szCs w:val="32"/>
        </w:rPr>
        <w:t>及时下调存量房交易计税价格，打通房产置换链条。</w:t>
      </w:r>
      <w:r>
        <w:rPr>
          <w:rFonts w:hint="eastAsia" w:ascii="仿宋" w:hAnsi="仿宋" w:eastAsia="仿宋" w:cs="仿宋"/>
          <w:sz w:val="32"/>
          <w:szCs w:val="32"/>
          <w:lang w:eastAsia="zh-CN"/>
        </w:rPr>
        <w:t>县</w:t>
      </w:r>
      <w:r>
        <w:rPr>
          <w:rFonts w:hint="eastAsia" w:ascii="仿宋" w:hAnsi="仿宋" w:eastAsia="仿宋" w:cs="仿宋"/>
          <w:sz w:val="32"/>
          <w:szCs w:val="32"/>
        </w:rPr>
        <w:t>税务根据</w:t>
      </w:r>
      <w:r>
        <w:rPr>
          <w:rFonts w:hint="eastAsia" w:ascii="仿宋" w:hAnsi="仿宋" w:eastAsia="仿宋" w:cs="仿宋"/>
          <w:sz w:val="32"/>
          <w:szCs w:val="32"/>
          <w:lang w:eastAsia="zh-CN"/>
        </w:rPr>
        <w:t>国家税务</w:t>
      </w:r>
      <w:r>
        <w:rPr>
          <w:rFonts w:hint="eastAsia" w:ascii="仿宋" w:hAnsi="仿宋" w:eastAsia="仿宋" w:cs="仿宋"/>
          <w:sz w:val="32"/>
          <w:szCs w:val="32"/>
        </w:rPr>
        <w:t>总局、省税务局规定适时调整土地增值税预征率、核定征收率，优化完善土地增值税征管期限。</w:t>
      </w:r>
      <w:r>
        <w:rPr>
          <w:rFonts w:hint="eastAsia" w:ascii="仿宋" w:hAnsi="仿宋" w:eastAsia="仿宋" w:cs="仿宋"/>
          <w:b/>
          <w:bCs/>
          <w:sz w:val="32"/>
          <w:szCs w:val="32"/>
        </w:rPr>
        <w:t>（责任单位：县税务局、县财政局、县住建局）</w:t>
      </w:r>
    </w:p>
    <w:p w14:paraId="62E194FF">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b/>
          <w:bCs/>
          <w:sz w:val="32"/>
          <w:szCs w:val="32"/>
        </w:rPr>
      </w:pPr>
      <w:r>
        <w:rPr>
          <w:rFonts w:hint="eastAsia" w:ascii="黑体" w:hAnsi="黑体" w:eastAsia="黑体" w:cs="黑体"/>
          <w:b w:val="0"/>
          <w:bCs w:val="0"/>
          <w:sz w:val="32"/>
          <w:szCs w:val="32"/>
          <w:lang w:val="en-US" w:eastAsia="zh-CN"/>
        </w:rPr>
        <w:t>五、加强住房信贷支持。</w:t>
      </w:r>
      <w:r>
        <w:rPr>
          <w:rFonts w:hint="eastAsia" w:ascii="仿宋" w:hAnsi="仿宋" w:eastAsia="仿宋" w:cs="仿宋"/>
          <w:sz w:val="32"/>
          <w:szCs w:val="32"/>
        </w:rPr>
        <w:t>下调商业性个人住房贷款最低首付款比例，其中首套住房为不低于15％，二套住房为不低于25％。取消我县首套住房和二套住房商业性个人住房贷款利率下限，各银行业金融机构应结合本机构经营状况、客户风险状况等因素，合理确定每笔贷款的具体利率水平。结合实际调低新发放商业个人住房贷款保证金比例，提前释放存量房贷款保证金，支持保交房项目建设。在房地产开发企业作出“代偿公积金逾期贷款”承诺后，取消住房公积金贷款保证金。将保交房项目住房公积金存量贷款保证金比例降至2.5％，超出部分提前释放，以支持我县保交房项目建设。符合保证金解付条件的，及时将保证金退付至规定账户内。</w:t>
      </w:r>
      <w:r>
        <w:rPr>
          <w:rFonts w:hint="eastAsia" w:ascii="仿宋" w:hAnsi="仿宋" w:eastAsia="仿宋" w:cs="仿宋"/>
          <w:b/>
          <w:bCs/>
          <w:sz w:val="32"/>
          <w:szCs w:val="32"/>
        </w:rPr>
        <w:t>（责任单位：国家金融监督管理总局德安监管支局、县住建局）</w:t>
      </w:r>
    </w:p>
    <w:p w14:paraId="18335765">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rPr>
      </w:pPr>
      <w:r>
        <w:rPr>
          <w:rFonts w:hint="eastAsia" w:ascii="黑体" w:hAnsi="黑体" w:eastAsia="黑体" w:cs="黑体"/>
          <w:b w:val="0"/>
          <w:bCs w:val="0"/>
          <w:sz w:val="32"/>
          <w:szCs w:val="32"/>
          <w:lang w:val="en-US" w:eastAsia="zh-CN"/>
        </w:rPr>
        <w:t>六、进一步优化住房公积金政策。</w:t>
      </w:r>
      <w:r>
        <w:rPr>
          <w:rFonts w:hint="eastAsia" w:ascii="仿宋" w:hAnsi="仿宋" w:eastAsia="仿宋" w:cs="仿宋"/>
          <w:b w:val="0"/>
          <w:bCs w:val="0"/>
          <w:sz w:val="32"/>
          <w:szCs w:val="32"/>
          <w:lang w:eastAsia="zh-CN"/>
        </w:rPr>
        <w:t>根据市级文件</w:t>
      </w:r>
      <w:r>
        <w:rPr>
          <w:rFonts w:hint="eastAsia" w:ascii="仿宋" w:hAnsi="仿宋" w:eastAsia="仿宋" w:cs="仿宋"/>
          <w:sz w:val="32"/>
          <w:szCs w:val="32"/>
        </w:rPr>
        <w:t>下调住房公积金贷款利率，按国家政策低限执行。职工家庭在当地无成套住房，在全国范围内第一次使用公积金贷款或者公积金首次贷款已结清并再次申请公积金贷款的，执行首套房贷款政策。提高住房公积金最高贷款额度，在本县</w:t>
      </w:r>
      <w:r>
        <w:rPr>
          <w:rFonts w:hint="eastAsia" w:ascii="仿宋" w:hAnsi="仿宋" w:eastAsia="仿宋" w:cs="仿宋"/>
          <w:sz w:val="32"/>
          <w:szCs w:val="32"/>
          <w:lang w:eastAsia="zh-CN"/>
        </w:rPr>
        <w:t>中心城区</w:t>
      </w:r>
      <w:r>
        <w:rPr>
          <w:rFonts w:hint="eastAsia" w:ascii="仿宋" w:hAnsi="仿宋" w:eastAsia="仿宋" w:cs="仿宋"/>
          <w:sz w:val="32"/>
          <w:szCs w:val="32"/>
        </w:rPr>
        <w:t>购买商品住房的夫妻双职工缴存家庭贷款最高限额提高至60万元／户，单职工缴存家庭提高至40万元／户。二孩、三孩家庭购买自住住房申请住房公积金贷款最高额度分别上调10％、20％；优秀基础及以上人才购买自住住房申请住房公积金贷款最高额度上调20％；缴存职工购买装配式住宅、星级绿色住宅申请住房公积金贷款最高额度上调20％，上述住房公积金贷款最高额度上调百分比按最高标准享受一次，不叠加享受。</w:t>
      </w:r>
    </w:p>
    <w:p w14:paraId="253A880E">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实行“既提又贷”公积金政策，职工在提取住房公积金支付购房款或首付款后，仍可申请住房公积金贷款；住房公积金贷款发放后，职工可提取住房公积金用于每月对冲还贷和提前还款，住房公积金账户余额满5000元可不限次数提前还款。</w:t>
      </w:r>
    </w:p>
    <w:p w14:paraId="0A6C7C65">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b/>
          <w:bCs/>
          <w:sz w:val="32"/>
          <w:szCs w:val="32"/>
        </w:rPr>
      </w:pPr>
      <w:r>
        <w:rPr>
          <w:rFonts w:hint="eastAsia" w:ascii="仿宋" w:hAnsi="仿宋" w:eastAsia="仿宋" w:cs="仿宋"/>
          <w:sz w:val="32"/>
          <w:szCs w:val="32"/>
        </w:rPr>
        <w:t>全面推行住房公积金省内异地个人住房贷款业务，积极扩大长江中游城市群、赣鄂湘区域城市异地缴存互认互贷合作范围，区域发展合作协议城市缴存职工享受本地职工贷款同等待遇。进一步推进灵活就业人群参加住房公积金制度，灵活就业人员在贷款条件、贷款额度等方面均享受单位缴存职工同等待遇。</w:t>
      </w:r>
      <w:r>
        <w:rPr>
          <w:rFonts w:hint="eastAsia" w:ascii="仿宋" w:hAnsi="仿宋" w:eastAsia="仿宋" w:cs="仿宋"/>
          <w:b/>
          <w:bCs/>
          <w:sz w:val="32"/>
          <w:szCs w:val="32"/>
        </w:rPr>
        <w:t>（责任单位：九江市住房公积金管理中心德安办事处）</w:t>
      </w:r>
    </w:p>
    <w:p w14:paraId="7DADBB4E">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b/>
          <w:bCs/>
          <w:sz w:val="32"/>
          <w:szCs w:val="32"/>
        </w:rPr>
      </w:pPr>
      <w:r>
        <w:rPr>
          <w:rFonts w:hint="eastAsia" w:ascii="黑体" w:hAnsi="黑体" w:eastAsia="黑体" w:cs="黑体"/>
          <w:b w:val="0"/>
          <w:bCs w:val="0"/>
          <w:sz w:val="32"/>
          <w:szCs w:val="32"/>
          <w:lang w:val="en-US" w:eastAsia="zh-CN"/>
        </w:rPr>
        <w:t>七、优化个人住房贷款中住房套数认定标准。</w:t>
      </w:r>
      <w:r>
        <w:rPr>
          <w:rFonts w:hint="eastAsia" w:ascii="仿宋" w:hAnsi="仿宋" w:eastAsia="仿宋" w:cs="仿宋"/>
          <w:sz w:val="32"/>
          <w:szCs w:val="32"/>
        </w:rPr>
        <w:t>住房公积金和商业性个人住房贷款的居民家庭住房套数，仅以</w:t>
      </w:r>
      <w:r>
        <w:rPr>
          <w:rFonts w:hint="eastAsia" w:ascii="仿宋" w:hAnsi="仿宋" w:eastAsia="仿宋" w:cs="仿宋"/>
          <w:sz w:val="32"/>
          <w:szCs w:val="32"/>
          <w:lang w:eastAsia="zh-CN"/>
        </w:rPr>
        <w:t>本县</w:t>
      </w:r>
      <w:r>
        <w:rPr>
          <w:rFonts w:hint="eastAsia" w:ascii="仿宋" w:hAnsi="仿宋" w:eastAsia="仿宋" w:cs="仿宋"/>
          <w:sz w:val="32"/>
          <w:szCs w:val="32"/>
        </w:rPr>
        <w:t>不动产登记机构查询的居民家庭在当地已购商品住房总套数为核算依据，农村宅基地自建房不计入住房套数。若购房人在</w:t>
      </w:r>
      <w:r>
        <w:rPr>
          <w:rFonts w:hint="eastAsia" w:ascii="仿宋" w:hAnsi="仿宋" w:eastAsia="仿宋" w:cs="仿宋"/>
          <w:sz w:val="32"/>
          <w:szCs w:val="32"/>
          <w:lang w:eastAsia="zh-CN"/>
        </w:rPr>
        <w:t>本县</w:t>
      </w:r>
      <w:r>
        <w:rPr>
          <w:rFonts w:hint="eastAsia" w:ascii="仿宋" w:hAnsi="仿宋" w:eastAsia="仿宋" w:cs="仿宋"/>
          <w:sz w:val="32"/>
          <w:szCs w:val="32"/>
        </w:rPr>
        <w:t>有住房，能提供房屋租赁登记备案证明或房源信息编码并已挂牌出售证明的，可按核减后名下住房套数发放个人住房贷款。</w:t>
      </w:r>
      <w:r>
        <w:rPr>
          <w:rFonts w:hint="eastAsia" w:ascii="仿宋" w:hAnsi="仿宋" w:eastAsia="仿宋" w:cs="仿宋"/>
          <w:b/>
          <w:bCs/>
          <w:sz w:val="32"/>
          <w:szCs w:val="32"/>
        </w:rPr>
        <w:t>（责任单位：县住建局、县自然资源局）</w:t>
      </w:r>
    </w:p>
    <w:p w14:paraId="1EB41465">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b/>
          <w:bCs/>
          <w:sz w:val="32"/>
          <w:szCs w:val="32"/>
        </w:rPr>
      </w:pPr>
      <w:r>
        <w:rPr>
          <w:rFonts w:hint="eastAsia" w:ascii="黑体" w:hAnsi="黑体" w:eastAsia="黑体" w:cs="黑体"/>
          <w:b w:val="0"/>
          <w:bCs w:val="0"/>
          <w:sz w:val="32"/>
          <w:szCs w:val="32"/>
          <w:lang w:val="en-US" w:eastAsia="zh-CN"/>
        </w:rPr>
        <w:t>八、全面落实城市房地产融资协调机制。</w:t>
      </w:r>
      <w:r>
        <w:rPr>
          <w:rFonts w:hint="eastAsia" w:ascii="仿宋" w:hAnsi="仿宋" w:eastAsia="仿宋" w:cs="仿宋"/>
          <w:sz w:val="32"/>
          <w:szCs w:val="32"/>
        </w:rPr>
        <w:t>全面建立融资“白名单”项目“推送-反馈”工作闭环和贷款“发放-使用-偿还”管理闭环机制，落实“存贷挂钩”机制，符合条件项目要“应进尽进”“应贷尽贷”。金融机构对城市融资协调机制推送的项目名单应按“市场化、法治化”的原则进行评估，及时反馈合格“白名单”、不合格名单及原因。对不合格名单的项目，协调机制应尽快进行问题项目的修复工作，达到条件后再列入“白名单”。项目“白名单”准入条件按国家有关政策确定，金融机构不得另行增设前置条件。积极组织线上、线下等多种形式的银企对接活动，帮助房企制定融资方案，给予相应支持。</w:t>
      </w:r>
      <w:r>
        <w:rPr>
          <w:rFonts w:hint="eastAsia" w:ascii="仿宋" w:hAnsi="仿宋" w:eastAsia="仿宋" w:cs="仿宋"/>
          <w:b/>
          <w:bCs/>
          <w:sz w:val="32"/>
          <w:szCs w:val="32"/>
        </w:rPr>
        <w:t>（责任单位：国家金融监督管理总局德安监管支局、县住建局）</w:t>
      </w:r>
    </w:p>
    <w:p w14:paraId="6502DBE5">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b/>
          <w:bCs/>
          <w:sz w:val="32"/>
          <w:szCs w:val="32"/>
        </w:rPr>
      </w:pPr>
      <w:r>
        <w:rPr>
          <w:rFonts w:hint="eastAsia" w:ascii="黑体" w:hAnsi="黑体" w:eastAsia="黑体" w:cs="黑体"/>
          <w:b w:val="0"/>
          <w:bCs w:val="0"/>
          <w:sz w:val="32"/>
          <w:szCs w:val="32"/>
          <w:lang w:val="en-US" w:eastAsia="zh-CN"/>
        </w:rPr>
        <w:t>九、进一步优化预售资金管理。</w:t>
      </w:r>
      <w:r>
        <w:rPr>
          <w:rFonts w:hint="eastAsia" w:ascii="仿宋" w:hAnsi="仿宋" w:eastAsia="仿宋" w:cs="仿宋"/>
          <w:sz w:val="32"/>
          <w:szCs w:val="32"/>
        </w:rPr>
        <w:t>优化预售监管资金使用流程，压缩审核时间。因出现延期交付风险的项目，经县人民政府</w:t>
      </w:r>
      <w:r>
        <w:rPr>
          <w:rFonts w:hint="eastAsia" w:ascii="仿宋" w:hAnsi="仿宋" w:eastAsia="仿宋" w:cs="仿宋"/>
          <w:sz w:val="32"/>
          <w:szCs w:val="32"/>
          <w:lang w:val="en-US" w:eastAsia="zh-CN"/>
        </w:rPr>
        <w:t>工作专班</w:t>
      </w:r>
      <w:r>
        <w:rPr>
          <w:rFonts w:hint="eastAsia" w:ascii="仿宋" w:hAnsi="仿宋" w:eastAsia="仿宋" w:cs="仿宋"/>
          <w:sz w:val="32"/>
          <w:szCs w:val="32"/>
        </w:rPr>
        <w:t>核实确认，并承诺确保完成该项目保交房任务的，允许采用“点对点”方式应急使用监管资金。</w:t>
      </w:r>
      <w:r>
        <w:rPr>
          <w:rFonts w:hint="eastAsia" w:ascii="仿宋" w:hAnsi="仿宋" w:eastAsia="仿宋" w:cs="仿宋"/>
          <w:b/>
          <w:bCs/>
          <w:sz w:val="32"/>
          <w:szCs w:val="32"/>
        </w:rPr>
        <w:t>（责任单位：县住建局）</w:t>
      </w:r>
    </w:p>
    <w:p w14:paraId="410D483A">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b/>
          <w:bCs/>
          <w:sz w:val="32"/>
          <w:szCs w:val="32"/>
        </w:rPr>
      </w:pPr>
      <w:r>
        <w:rPr>
          <w:rFonts w:hint="eastAsia" w:ascii="黑体" w:hAnsi="黑体" w:eastAsia="黑体" w:cs="黑体"/>
          <w:b w:val="0"/>
          <w:bCs w:val="0"/>
          <w:sz w:val="32"/>
          <w:szCs w:val="32"/>
          <w:lang w:val="en-US" w:eastAsia="zh-CN"/>
        </w:rPr>
        <w:t>十、支持房地产交易“减负”。</w:t>
      </w:r>
      <w:r>
        <w:rPr>
          <w:rFonts w:hint="eastAsia" w:ascii="仿宋" w:hAnsi="仿宋" w:eastAsia="仿宋" w:cs="仿宋"/>
          <w:sz w:val="32"/>
          <w:szCs w:val="32"/>
        </w:rPr>
        <w:t>全面落实存量房“带押过户”，简化抵押存量房交易程序，符合相关条件的已抵押存量房，无需提前归还旧贷款、注销抵押登记，即可完成过户、再次抵押和发放新贷款等手续，实现“带押过户”，节约交易双方资金和时间成本。引导房地产经纪机构“提质降佣”，合理降低销售环节成本。实现存量房交易资金监管，确保交易真实性，减少交易风险。</w:t>
      </w:r>
      <w:r>
        <w:rPr>
          <w:rFonts w:hint="eastAsia" w:ascii="仿宋" w:hAnsi="仿宋" w:eastAsia="仿宋" w:cs="仿宋"/>
          <w:b/>
          <w:bCs/>
          <w:sz w:val="32"/>
          <w:szCs w:val="32"/>
        </w:rPr>
        <w:t>（责任单位：县自然资源局、县税务局、县住建局、</w:t>
      </w:r>
      <w:r>
        <w:rPr>
          <w:rFonts w:hint="eastAsia" w:ascii="仿宋" w:hAnsi="仿宋" w:eastAsia="仿宋" w:cs="仿宋"/>
          <w:b/>
          <w:bCs/>
          <w:sz w:val="32"/>
          <w:szCs w:val="32"/>
          <w:lang w:eastAsia="zh-CN"/>
        </w:rPr>
        <w:t>县司法局、</w:t>
      </w:r>
      <w:r>
        <w:rPr>
          <w:rFonts w:hint="eastAsia" w:ascii="仿宋" w:hAnsi="仿宋" w:eastAsia="仿宋" w:cs="仿宋"/>
          <w:b/>
          <w:bCs/>
          <w:sz w:val="32"/>
          <w:szCs w:val="32"/>
        </w:rPr>
        <w:t>国家金融监督管理总局德安监管支局）</w:t>
      </w:r>
    </w:p>
    <w:p w14:paraId="44CE772D">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b/>
          <w:bCs/>
          <w:sz w:val="32"/>
          <w:szCs w:val="32"/>
        </w:rPr>
      </w:pPr>
      <w:r>
        <w:rPr>
          <w:rFonts w:hint="eastAsia" w:ascii="黑体" w:hAnsi="黑体" w:eastAsia="黑体" w:cs="黑体"/>
          <w:b w:val="0"/>
          <w:bCs w:val="0"/>
          <w:sz w:val="32"/>
          <w:szCs w:val="32"/>
          <w:lang w:val="en-US" w:eastAsia="zh-CN"/>
        </w:rPr>
        <w:t>十一、稳妥处置“工抵房”“法拍房”。</w:t>
      </w:r>
      <w:r>
        <w:rPr>
          <w:rFonts w:hint="eastAsia" w:ascii="仿宋" w:hAnsi="仿宋" w:eastAsia="仿宋" w:cs="仿宋"/>
          <w:sz w:val="32"/>
          <w:szCs w:val="32"/>
        </w:rPr>
        <w:t>由县住建局提交书面申请，经</w:t>
      </w:r>
      <w:r>
        <w:rPr>
          <w:rFonts w:hint="eastAsia" w:ascii="仿宋" w:hAnsi="仿宋" w:eastAsia="仿宋" w:cs="仿宋"/>
          <w:sz w:val="32"/>
          <w:szCs w:val="32"/>
          <w:lang w:val="en-US" w:eastAsia="zh-CN"/>
        </w:rPr>
        <w:t>县</w:t>
      </w:r>
      <w:r>
        <w:rPr>
          <w:rFonts w:hint="eastAsia" w:ascii="仿宋" w:hAnsi="仿宋" w:eastAsia="仿宋" w:cs="仿宋"/>
          <w:sz w:val="32"/>
          <w:szCs w:val="32"/>
        </w:rPr>
        <w:t>人民政府核实确认，允许保交房项目预售监管资金未到账的“工抵房”进行合同网签备案。</w:t>
      </w:r>
      <w:r>
        <w:rPr>
          <w:rFonts w:hint="eastAsia" w:ascii="仿宋" w:hAnsi="仿宋" w:eastAsia="仿宋" w:cs="仿宋"/>
          <w:sz w:val="32"/>
          <w:szCs w:val="32"/>
          <w:lang w:eastAsia="zh-CN"/>
        </w:rPr>
        <w:t>县住建局</w:t>
      </w:r>
      <w:r>
        <w:rPr>
          <w:rFonts w:hint="eastAsia" w:ascii="仿宋" w:hAnsi="仿宋" w:eastAsia="仿宋" w:cs="仿宋"/>
          <w:sz w:val="32"/>
          <w:szCs w:val="32"/>
        </w:rPr>
        <w:t>加强对“工抵房”的价格管控，网签备案价格应与该小区平均价格相匹配。稳妥开展“法拍房”工作，要加强对当地商品房价格的监测，积极配合相关法院依法合理确定“法拍房”的起拍价，确保商品房价格总体平稳。</w:t>
      </w:r>
      <w:r>
        <w:rPr>
          <w:rFonts w:hint="eastAsia" w:ascii="仿宋" w:hAnsi="仿宋" w:eastAsia="仿宋" w:cs="仿宋"/>
          <w:b/>
          <w:bCs/>
          <w:sz w:val="32"/>
          <w:szCs w:val="32"/>
        </w:rPr>
        <w:t>（责任单位：县住建局</w:t>
      </w:r>
      <w:r>
        <w:rPr>
          <w:rFonts w:hint="eastAsia" w:ascii="仿宋" w:hAnsi="仿宋" w:eastAsia="仿宋" w:cs="仿宋"/>
          <w:b/>
          <w:bCs/>
          <w:sz w:val="32"/>
          <w:szCs w:val="32"/>
          <w:lang w:eastAsia="zh-CN"/>
        </w:rPr>
        <w:t>、</w:t>
      </w:r>
      <w:r>
        <w:rPr>
          <w:rFonts w:hint="eastAsia" w:ascii="仿宋" w:hAnsi="仿宋" w:eastAsia="仿宋" w:cs="仿宋"/>
          <w:b/>
          <w:bCs/>
          <w:sz w:val="32"/>
          <w:szCs w:val="32"/>
        </w:rPr>
        <w:t>县人民法院）</w:t>
      </w:r>
    </w:p>
    <w:p w14:paraId="78C85AF5">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b/>
          <w:bCs/>
          <w:sz w:val="32"/>
          <w:szCs w:val="32"/>
          <w:lang w:eastAsia="zh-CN"/>
        </w:rPr>
      </w:pPr>
      <w:r>
        <w:rPr>
          <w:rFonts w:hint="eastAsia" w:ascii="黑体" w:hAnsi="黑体" w:eastAsia="黑体" w:cs="黑体"/>
          <w:b w:val="0"/>
          <w:bCs w:val="0"/>
          <w:sz w:val="32"/>
          <w:szCs w:val="32"/>
          <w:lang w:val="en-US" w:eastAsia="zh-CN"/>
        </w:rPr>
        <w:t>十二、加快商品住房去库存。</w:t>
      </w:r>
      <w:r>
        <w:rPr>
          <w:rFonts w:hint="eastAsia" w:ascii="仿宋" w:hAnsi="仿宋" w:eastAsia="仿宋" w:cs="仿宋"/>
          <w:sz w:val="32"/>
          <w:szCs w:val="32"/>
        </w:rPr>
        <w:t>鼓励房地产企业开展住房团购活动。优先利用收购已建成存量商品住房作为保障房的政策</w:t>
      </w:r>
      <w:r>
        <w:rPr>
          <w:rFonts w:hint="eastAsia" w:ascii="仿宋" w:hAnsi="仿宋" w:eastAsia="仿宋" w:cs="仿宋"/>
          <w:sz w:val="32"/>
          <w:szCs w:val="32"/>
          <w:lang w:eastAsia="zh-CN"/>
        </w:rPr>
        <w:t>。</w:t>
      </w:r>
      <w:r>
        <w:rPr>
          <w:rFonts w:hint="eastAsia" w:ascii="仿宋" w:hAnsi="仿宋" w:eastAsia="仿宋" w:cs="仿宋"/>
          <w:sz w:val="32"/>
          <w:szCs w:val="32"/>
        </w:rPr>
        <w:t>各级机关、</w:t>
      </w:r>
      <w:r>
        <w:rPr>
          <w:rFonts w:hint="eastAsia" w:ascii="仿宋" w:hAnsi="仿宋" w:eastAsia="仿宋" w:cs="仿宋"/>
          <w:sz w:val="32"/>
          <w:szCs w:val="32"/>
          <w:lang w:val="en-US" w:eastAsia="zh-CN"/>
        </w:rPr>
        <w:t>学校、</w:t>
      </w:r>
      <w:r>
        <w:rPr>
          <w:rFonts w:hint="eastAsia" w:ascii="仿宋" w:hAnsi="仿宋" w:eastAsia="仿宋" w:cs="仿宋"/>
          <w:sz w:val="32"/>
          <w:szCs w:val="32"/>
        </w:rPr>
        <w:t>医院、国有企业等各类机关企事业单位，原则上不再新开工建设干部职工宿舍、周转房、人才房等，确有必要的，经审批后可按规定就近购买库存商品住房进行筹集。充分利用本地优质医疗、文旅、教育、生态资源，</w:t>
      </w:r>
      <w:r>
        <w:rPr>
          <w:rFonts w:hint="eastAsia" w:ascii="仿宋" w:hAnsi="仿宋" w:eastAsia="仿宋" w:cs="仿宋"/>
          <w:sz w:val="32"/>
          <w:szCs w:val="32"/>
          <w:lang w:val="en-US" w:eastAsia="zh-CN"/>
        </w:rPr>
        <w:t>用活现有政策</w:t>
      </w:r>
      <w:r>
        <w:rPr>
          <w:rFonts w:hint="eastAsia" w:ascii="仿宋" w:hAnsi="仿宋" w:eastAsia="仿宋" w:cs="仿宋"/>
          <w:sz w:val="32"/>
          <w:szCs w:val="32"/>
        </w:rPr>
        <w:t>吸引周边地区人群来本</w:t>
      </w:r>
      <w:r>
        <w:rPr>
          <w:rFonts w:hint="eastAsia" w:ascii="仿宋" w:hAnsi="仿宋" w:eastAsia="仿宋" w:cs="仿宋"/>
          <w:sz w:val="32"/>
          <w:szCs w:val="32"/>
          <w:lang w:val="en-US" w:eastAsia="zh-CN"/>
        </w:rPr>
        <w:t>县</w:t>
      </w:r>
      <w:r>
        <w:rPr>
          <w:rFonts w:hint="eastAsia" w:ascii="仿宋" w:hAnsi="仿宋" w:eastAsia="仿宋" w:cs="仿宋"/>
          <w:sz w:val="32"/>
          <w:szCs w:val="32"/>
        </w:rPr>
        <w:t>创业就业、购房落户、养老度假，实现</w:t>
      </w:r>
      <w:r>
        <w:rPr>
          <w:rFonts w:hint="eastAsia" w:ascii="仿宋" w:hAnsi="仿宋" w:eastAsia="仿宋" w:cs="仿宋"/>
          <w:sz w:val="32"/>
          <w:szCs w:val="32"/>
          <w:lang w:val="en-US" w:eastAsia="zh-CN"/>
        </w:rPr>
        <w:t>存量</w:t>
      </w:r>
      <w:r>
        <w:rPr>
          <w:rFonts w:hint="eastAsia" w:ascii="仿宋" w:hAnsi="仿宋" w:eastAsia="仿宋" w:cs="仿宋"/>
          <w:sz w:val="32"/>
          <w:szCs w:val="32"/>
        </w:rPr>
        <w:t>房去化多样化。</w:t>
      </w:r>
      <w:r>
        <w:rPr>
          <w:rFonts w:hint="eastAsia" w:ascii="仿宋" w:hAnsi="仿宋" w:eastAsia="仿宋" w:cs="仿宋"/>
          <w:b/>
          <w:bCs/>
          <w:sz w:val="32"/>
          <w:szCs w:val="32"/>
        </w:rPr>
        <w:t>（责任单位：县住建局</w:t>
      </w:r>
      <w:r>
        <w:rPr>
          <w:rFonts w:hint="eastAsia" w:ascii="仿宋" w:hAnsi="仿宋" w:eastAsia="仿宋" w:cs="仿宋"/>
          <w:b/>
          <w:bCs/>
          <w:sz w:val="32"/>
          <w:szCs w:val="32"/>
          <w:lang w:eastAsia="zh-CN"/>
        </w:rPr>
        <w:t>、</w:t>
      </w:r>
      <w:r>
        <w:rPr>
          <w:rFonts w:hint="eastAsia" w:ascii="仿宋" w:hAnsi="仿宋" w:eastAsia="仿宋" w:cs="仿宋"/>
          <w:b/>
          <w:bCs/>
          <w:sz w:val="32"/>
          <w:szCs w:val="32"/>
        </w:rPr>
        <w:t>县财政局、县人社局、县民政局、县自然资源局、县卫健委、县教体局</w:t>
      </w:r>
      <w:r>
        <w:rPr>
          <w:rFonts w:hint="eastAsia" w:ascii="仿宋" w:hAnsi="仿宋" w:eastAsia="仿宋" w:cs="仿宋"/>
          <w:b/>
          <w:bCs/>
          <w:sz w:val="32"/>
          <w:szCs w:val="32"/>
          <w:lang w:eastAsia="zh-CN"/>
        </w:rPr>
        <w:t>、</w:t>
      </w:r>
      <w:r>
        <w:rPr>
          <w:rFonts w:hint="eastAsia" w:ascii="仿宋" w:hAnsi="仿宋" w:eastAsia="仿宋" w:cs="仿宋"/>
          <w:b/>
          <w:bCs/>
          <w:sz w:val="32"/>
          <w:szCs w:val="32"/>
        </w:rPr>
        <w:t>县</w:t>
      </w:r>
      <w:r>
        <w:rPr>
          <w:rFonts w:hint="eastAsia" w:ascii="仿宋" w:hAnsi="仿宋" w:eastAsia="仿宋" w:cs="仿宋"/>
          <w:b/>
          <w:bCs/>
          <w:sz w:val="32"/>
          <w:szCs w:val="32"/>
          <w:lang w:eastAsia="zh-CN"/>
        </w:rPr>
        <w:t>文旅局）</w:t>
      </w:r>
    </w:p>
    <w:p w14:paraId="242BE68F">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b/>
          <w:bCs/>
          <w:sz w:val="32"/>
          <w:szCs w:val="32"/>
        </w:rPr>
      </w:pPr>
      <w:r>
        <w:rPr>
          <w:rFonts w:hint="eastAsia" w:ascii="黑体" w:hAnsi="黑体" w:eastAsia="黑体" w:cs="黑体"/>
          <w:b w:val="0"/>
          <w:bCs w:val="0"/>
          <w:sz w:val="32"/>
          <w:szCs w:val="32"/>
          <w:lang w:val="en-US" w:eastAsia="zh-CN"/>
        </w:rPr>
        <w:t>十三、支持商业库存去化。</w:t>
      </w:r>
      <w:r>
        <w:rPr>
          <w:rFonts w:hint="eastAsia" w:ascii="仿宋" w:hAnsi="仿宋" w:eastAsia="仿宋" w:cs="仿宋"/>
          <w:sz w:val="32"/>
          <w:szCs w:val="32"/>
        </w:rPr>
        <w:t>已出让的商业、商住或可兼容商业性质的用地，在满足土地出让合同及招商协议的前提下，确需设置服务型公寓产品的（其计容建筑面积与商业计容建筑面积之比原则上不超过50％），由建设单位依法按程序报</w:t>
      </w:r>
      <w:r>
        <w:rPr>
          <w:rFonts w:hint="eastAsia" w:ascii="仿宋" w:hAnsi="仿宋" w:eastAsia="仿宋" w:cs="仿宋"/>
          <w:sz w:val="32"/>
          <w:szCs w:val="32"/>
          <w:lang w:eastAsia="zh-CN"/>
        </w:rPr>
        <w:t>县</w:t>
      </w:r>
      <w:r>
        <w:rPr>
          <w:rFonts w:hint="eastAsia" w:ascii="仿宋" w:hAnsi="仿宋" w:eastAsia="仿宋" w:cs="仿宋"/>
          <w:sz w:val="32"/>
          <w:szCs w:val="32"/>
        </w:rPr>
        <w:t>自然资源</w:t>
      </w:r>
      <w:r>
        <w:rPr>
          <w:rFonts w:hint="eastAsia" w:ascii="仿宋" w:hAnsi="仿宋" w:eastAsia="仿宋" w:cs="仿宋"/>
          <w:sz w:val="32"/>
          <w:szCs w:val="32"/>
          <w:lang w:eastAsia="zh-CN"/>
        </w:rPr>
        <w:t>局</w:t>
      </w:r>
      <w:r>
        <w:rPr>
          <w:rFonts w:hint="eastAsia" w:ascii="仿宋" w:hAnsi="仿宋" w:eastAsia="仿宋" w:cs="仿宋"/>
          <w:sz w:val="32"/>
          <w:szCs w:val="32"/>
        </w:rPr>
        <w:t>批准。个人购买经批准建设的服务型公寓，享受与住宅同等落户政策及用水、用气、用电标准，并可根据学位供给情况按政策统筹安排入学。对已建成的闲置存量商业类商品房，经批准可改建为保障性租赁住房及其他产业用房，改建后不变更土地使用性质，不补缴土地价款。各级机关、国有企事业单位，原则上不再新建办公用房，确有需要可按规定就近购买库存商业类商品房解决。</w:t>
      </w:r>
      <w:r>
        <w:rPr>
          <w:rFonts w:hint="eastAsia" w:ascii="仿宋" w:hAnsi="仿宋" w:eastAsia="仿宋" w:cs="仿宋"/>
          <w:b/>
          <w:bCs/>
          <w:sz w:val="32"/>
          <w:szCs w:val="32"/>
        </w:rPr>
        <w:t>（责任单位：县自然资源局、县住建局、县发改委、县财政局）</w:t>
      </w:r>
    </w:p>
    <w:p w14:paraId="1480BCA3">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ascii="仿宋" w:hAnsi="仿宋" w:eastAsia="仿宋" w:cs="仿宋"/>
          <w:color w:val="000000" w:themeColor="text1"/>
          <w:sz w:val="32"/>
          <w:szCs w:val="32"/>
          <w:u w:val="none"/>
          <w14:textFill>
            <w14:solidFill>
              <w14:schemeClr w14:val="tx1"/>
            </w14:solidFill>
          </w14:textFill>
        </w:rPr>
      </w:pPr>
      <w:r>
        <w:rPr>
          <w:rFonts w:hint="eastAsia" w:ascii="黑体" w:hAnsi="黑体" w:eastAsia="黑体" w:cs="黑体"/>
          <w:b w:val="0"/>
          <w:bCs w:val="0"/>
          <w:sz w:val="32"/>
          <w:szCs w:val="32"/>
          <w:lang w:val="en-US" w:eastAsia="zh-CN"/>
        </w:rPr>
        <w:t>十四、继续实行阶段性购房契税补贴。</w:t>
      </w:r>
      <w:r>
        <w:rPr>
          <w:rFonts w:hint="eastAsia" w:ascii="仿宋" w:hAnsi="仿宋" w:eastAsia="仿宋" w:cs="仿宋"/>
          <w:bCs/>
          <w:color w:val="000000" w:themeColor="text1"/>
          <w:sz w:val="32"/>
          <w:szCs w:val="32"/>
          <w:u w:val="none"/>
          <w14:textFill>
            <w14:solidFill>
              <w14:schemeClr w14:val="tx1"/>
            </w14:solidFill>
          </w14:textFill>
        </w:rPr>
        <w:t>2024年12月31日</w:t>
      </w:r>
      <w:r>
        <w:rPr>
          <w:rFonts w:hint="eastAsia" w:ascii="仿宋" w:hAnsi="仿宋" w:eastAsia="仿宋" w:cs="仿宋"/>
          <w:bCs/>
          <w:color w:val="000000" w:themeColor="text1"/>
          <w:sz w:val="32"/>
          <w:szCs w:val="32"/>
          <w:u w:val="none"/>
          <w:lang w:val="en-US" w:eastAsia="zh-CN"/>
          <w14:textFill>
            <w14:solidFill>
              <w14:schemeClr w14:val="tx1"/>
            </w14:solidFill>
          </w14:textFill>
        </w:rPr>
        <w:t>前</w:t>
      </w:r>
      <w:r>
        <w:rPr>
          <w:rFonts w:hint="eastAsia" w:ascii="仿宋" w:hAnsi="仿宋" w:eastAsia="仿宋" w:cs="仿宋"/>
          <w:bCs/>
          <w:color w:val="000000" w:themeColor="text1"/>
          <w:sz w:val="32"/>
          <w:szCs w:val="32"/>
          <w:u w:val="none"/>
          <w14:textFill>
            <w14:solidFill>
              <w14:schemeClr w14:val="tx1"/>
            </w14:solidFill>
          </w14:textFill>
        </w:rPr>
        <w:t>，在德安县中心城区购买（以合同网签时间为准）的新建商品房（含住房、非住房）且在2026年12月31日前缴清契税的，对购买业主给予50%税收补贴，契税实行先征后补。该项补贴申请流程原则上按《德安县中心城区申请购房补贴实施细则》（德住建字</w:t>
      </w:r>
      <w:r>
        <w:rPr>
          <w:rFonts w:hint="eastAsia" w:ascii="仿宋" w:hAnsi="仿宋" w:eastAsia="仿宋" w:cs="仿宋"/>
          <w:color w:val="000000" w:themeColor="text1"/>
          <w:spacing w:val="30"/>
          <w:kern w:val="0"/>
          <w:sz w:val="32"/>
          <w:szCs w:val="32"/>
          <w:u w:val="none"/>
          <w:lang w:bidi="ar"/>
          <w14:textFill>
            <w14:solidFill>
              <w14:schemeClr w14:val="tx1"/>
            </w14:solidFill>
          </w14:textFill>
        </w:rPr>
        <w:t>〔2022〕</w:t>
      </w:r>
      <w:r>
        <w:rPr>
          <w:rFonts w:hint="eastAsia" w:ascii="仿宋" w:hAnsi="仿宋" w:eastAsia="仿宋" w:cs="仿宋"/>
          <w:bCs/>
          <w:color w:val="000000" w:themeColor="text1"/>
          <w:sz w:val="32"/>
          <w:szCs w:val="32"/>
          <w:u w:val="none"/>
          <w14:textFill>
            <w14:solidFill>
              <w14:schemeClr w14:val="tx1"/>
            </w14:solidFill>
          </w14:textFill>
        </w:rPr>
        <w:t>29号）执行，申请受理截止时间为2026年12月31日。</w:t>
      </w:r>
      <w:r>
        <w:rPr>
          <w:rFonts w:hint="eastAsia" w:ascii="仿宋" w:hAnsi="仿宋" w:eastAsia="仿宋" w:cs="仿宋"/>
          <w:b/>
          <w:bCs w:val="0"/>
          <w:color w:val="000000" w:themeColor="text1"/>
          <w:sz w:val="32"/>
          <w:szCs w:val="32"/>
          <w:u w:val="none"/>
          <w14:textFill>
            <w14:solidFill>
              <w14:schemeClr w14:val="tx1"/>
            </w14:solidFill>
          </w14:textFill>
        </w:rPr>
        <w:t>（责任单位：县住建局</w:t>
      </w:r>
      <w:r>
        <w:rPr>
          <w:rFonts w:hint="eastAsia" w:ascii="仿宋" w:hAnsi="仿宋" w:eastAsia="仿宋" w:cs="仿宋"/>
          <w:b/>
          <w:bCs w:val="0"/>
          <w:color w:val="000000" w:themeColor="text1"/>
          <w:sz w:val="32"/>
          <w:szCs w:val="32"/>
          <w:u w:val="none"/>
          <w:lang w:eastAsia="zh-CN"/>
          <w14:textFill>
            <w14:solidFill>
              <w14:schemeClr w14:val="tx1"/>
            </w14:solidFill>
          </w14:textFill>
        </w:rPr>
        <w:t>、</w:t>
      </w:r>
      <w:r>
        <w:rPr>
          <w:rFonts w:hint="eastAsia" w:ascii="仿宋" w:hAnsi="仿宋" w:eastAsia="仿宋" w:cs="仿宋"/>
          <w:b/>
          <w:bCs w:val="0"/>
          <w:color w:val="000000" w:themeColor="text1"/>
          <w:sz w:val="32"/>
          <w:szCs w:val="32"/>
          <w:u w:val="none"/>
          <w14:textFill>
            <w14:solidFill>
              <w14:schemeClr w14:val="tx1"/>
            </w14:solidFill>
          </w14:textFill>
        </w:rPr>
        <w:t>县财政局、县税务</w:t>
      </w:r>
      <w:r>
        <w:rPr>
          <w:rFonts w:hint="eastAsia" w:ascii="仿宋" w:hAnsi="仿宋" w:eastAsia="仿宋" w:cs="仿宋"/>
          <w:b/>
          <w:bCs w:val="0"/>
          <w:color w:val="000000" w:themeColor="text1"/>
          <w:sz w:val="32"/>
          <w:szCs w:val="32"/>
          <w:u w:val="none"/>
          <w:lang w:val="en-US" w:eastAsia="zh-CN"/>
          <w14:textFill>
            <w14:solidFill>
              <w14:schemeClr w14:val="tx1"/>
            </w14:solidFill>
          </w14:textFill>
        </w:rPr>
        <w:t>局</w:t>
      </w:r>
      <w:r>
        <w:rPr>
          <w:rFonts w:hint="eastAsia" w:ascii="仿宋" w:hAnsi="仿宋" w:eastAsia="仿宋" w:cs="仿宋"/>
          <w:b/>
          <w:bCs w:val="0"/>
          <w:color w:val="000000" w:themeColor="text1"/>
          <w:sz w:val="32"/>
          <w:szCs w:val="32"/>
          <w:u w:val="none"/>
          <w14:textFill>
            <w14:solidFill>
              <w14:schemeClr w14:val="tx1"/>
            </w14:solidFill>
          </w14:textFill>
        </w:rPr>
        <w:t>）</w:t>
      </w:r>
    </w:p>
    <w:p w14:paraId="1E6C5C3E">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rPr>
      </w:pPr>
      <w:r>
        <w:rPr>
          <w:rFonts w:hint="eastAsia" w:ascii="黑体" w:hAnsi="黑体" w:eastAsia="黑体" w:cs="黑体"/>
          <w:b w:val="0"/>
          <w:bCs w:val="0"/>
          <w:sz w:val="32"/>
          <w:szCs w:val="32"/>
          <w:lang w:val="en-US" w:eastAsia="zh-CN"/>
        </w:rPr>
        <w:t>十五、优化调整学位准入政策。</w:t>
      </w:r>
      <w:r>
        <w:rPr>
          <w:rFonts w:hint="eastAsia" w:ascii="仿宋" w:hAnsi="仿宋" w:eastAsia="仿宋" w:cs="仿宋"/>
          <w:sz w:val="32"/>
          <w:szCs w:val="32"/>
        </w:rPr>
        <w:t>加快拟出让土地和新建住房项目比较集中区域义务教育阶段学校规划建设，完善教育配套资源，统筹学位供给情况，调整学位准入政策。支持购房人凭经网签备案的新建商品房买卖合同直接办理落户，并在学区有空余学位情况下安排就近入学。新出让土地在明确楼盘体量的基础上，可在供地前明确学区划分。</w:t>
      </w:r>
      <w:r>
        <w:rPr>
          <w:rFonts w:hint="eastAsia" w:ascii="仿宋" w:hAnsi="仿宋" w:eastAsia="仿宋" w:cs="仿宋"/>
          <w:b/>
          <w:bCs/>
          <w:sz w:val="32"/>
          <w:szCs w:val="32"/>
        </w:rPr>
        <w:t>（责任单位：县教体局、县自然资源局、县公安局、县住建局）</w:t>
      </w:r>
    </w:p>
    <w:p w14:paraId="6D0AF8A6">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b/>
          <w:bCs/>
          <w:sz w:val="32"/>
          <w:szCs w:val="32"/>
        </w:rPr>
      </w:pPr>
      <w:r>
        <w:rPr>
          <w:rFonts w:hint="eastAsia" w:ascii="黑体" w:hAnsi="黑体" w:eastAsia="黑体" w:cs="黑体"/>
          <w:b w:val="0"/>
          <w:bCs w:val="0"/>
          <w:sz w:val="32"/>
          <w:szCs w:val="32"/>
          <w:lang w:val="en-US" w:eastAsia="zh-CN"/>
        </w:rPr>
        <w:t>十六、积极发展高品质住宅。</w:t>
      </w:r>
      <w:r>
        <w:rPr>
          <w:rFonts w:hint="eastAsia" w:ascii="仿宋" w:hAnsi="仿宋" w:eastAsia="仿宋" w:cs="仿宋"/>
          <w:sz w:val="32"/>
          <w:szCs w:val="32"/>
        </w:rPr>
        <w:t>支持在详细规划编制中，将生态环境优美以及公共服务和基础设施配套较好的区域作为优质住房重点建设片区。参照《江西省商品住宅品质提升设计指引（试行）》有关规范，落实绿色、低碳、智能、安全理念，优化设计，提高建筑品质，开展城市森林花园建筑工程试点工作，引导空中庭院、空中森林花园建筑发展。支持对尚未开发建设、拟申请商品住宅品质提升项目，在符合国土空间总体规划，不突破公共服务设施和基础配套设施承载力的前提下，对所涉及的详细规划进行修改调整，合理布局建设风雨连廊、公共架空层、室外休憩和活动场地，增加更多可变空间。将高品质住房项目纳入金融支持范围，鼓励银行等金融机构对符合条件的企业、项目通过开辟绿色通道、加大信贷支持力度、降低信贷融资成本等方式给予支持。</w:t>
      </w:r>
      <w:r>
        <w:rPr>
          <w:rFonts w:hint="eastAsia" w:ascii="仿宋" w:hAnsi="仿宋" w:eastAsia="仿宋" w:cs="仿宋"/>
          <w:b/>
          <w:bCs/>
          <w:sz w:val="32"/>
          <w:szCs w:val="32"/>
        </w:rPr>
        <w:t>（责任单位：县自然资源局、县住建局、国家金融监督管理总局德安监管支局）</w:t>
      </w:r>
    </w:p>
    <w:p w14:paraId="039A1790">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b/>
          <w:bCs/>
          <w:sz w:val="32"/>
          <w:szCs w:val="32"/>
        </w:rPr>
      </w:pPr>
      <w:r>
        <w:rPr>
          <w:rFonts w:hint="eastAsia" w:ascii="黑体" w:hAnsi="黑体" w:eastAsia="黑体" w:cs="黑体"/>
          <w:b w:val="0"/>
          <w:bCs w:val="0"/>
          <w:sz w:val="32"/>
          <w:szCs w:val="32"/>
          <w:lang w:val="en-US" w:eastAsia="zh-CN"/>
        </w:rPr>
        <w:t>十七、优化新增房地产用地供应节奏。</w:t>
      </w:r>
      <w:r>
        <w:rPr>
          <w:rFonts w:hint="eastAsia" w:ascii="仿宋" w:hAnsi="仿宋" w:eastAsia="仿宋" w:cs="仿宋"/>
          <w:sz w:val="32"/>
          <w:szCs w:val="32"/>
        </w:rPr>
        <w:t>根据市场需求及时优化住宅用地和商业服务业用地的规模、布局和结构，完善对应商品房去化周期、房地产用地存量的房地产用地供应调节机制，合理控制新增房地产用地供应。当商品住宅去化周期超过36个月时，原则上暂停新增商品住宅用地新增建设用地出让；当商品住宅去化周期在18个月（不含）至36个月之间时，按照“盘活多少、供应多少”的原则，根据本年度内盘活的存量商品住宅用地面积（包括竣工和收回）动态确定新出让的商品住宅用地面积上限。当商业办公类商品房去化周期连续3个月超过36个月时，除省、市重点招商项目外，原则上暂停新增商业服务业建设用地出让。</w:t>
      </w:r>
      <w:r>
        <w:rPr>
          <w:rFonts w:hint="eastAsia" w:ascii="仿宋" w:hAnsi="仿宋" w:eastAsia="仿宋" w:cs="仿宋"/>
          <w:b/>
          <w:bCs/>
          <w:sz w:val="32"/>
          <w:szCs w:val="32"/>
        </w:rPr>
        <w:t>（责任单位：县自然资源局）</w:t>
      </w:r>
    </w:p>
    <w:p w14:paraId="1B2BF0E1">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b/>
          <w:bCs/>
          <w:sz w:val="32"/>
          <w:szCs w:val="32"/>
        </w:rPr>
      </w:pPr>
      <w:r>
        <w:rPr>
          <w:rFonts w:hint="eastAsia" w:ascii="黑体" w:hAnsi="黑体" w:eastAsia="黑体" w:cs="黑体"/>
          <w:b w:val="0"/>
          <w:bCs w:val="0"/>
          <w:sz w:val="32"/>
          <w:szCs w:val="32"/>
          <w:lang w:val="en-US" w:eastAsia="zh-CN"/>
        </w:rPr>
        <w:t>十八、稳妥处置闲置存量土地。</w:t>
      </w:r>
      <w:r>
        <w:rPr>
          <w:rFonts w:hint="eastAsia" w:ascii="仿宋" w:hAnsi="仿宋" w:eastAsia="仿宋" w:cs="仿宋"/>
          <w:sz w:val="32"/>
          <w:szCs w:val="32"/>
        </w:rPr>
        <w:t>自本文件印发之日至2027年12月31日，落实国家有关部门关于妥善处置闲置存量土地的政策规定，对2024年3月31日之前供应，目前尚未开工以及已开工未竣工的房地产用地，建立处置闲置存量土地项目清单，向</w:t>
      </w:r>
      <w:r>
        <w:rPr>
          <w:rFonts w:hint="eastAsia" w:ascii="仿宋" w:hAnsi="仿宋" w:eastAsia="仿宋" w:cs="仿宋"/>
          <w:sz w:val="32"/>
          <w:szCs w:val="32"/>
          <w:lang w:val="en-US" w:eastAsia="zh-CN"/>
        </w:rPr>
        <w:t>上</w:t>
      </w:r>
      <w:r>
        <w:rPr>
          <w:rFonts w:hint="eastAsia" w:ascii="仿宋" w:hAnsi="仿宋" w:eastAsia="仿宋" w:cs="仿宋"/>
          <w:sz w:val="32"/>
          <w:szCs w:val="32"/>
        </w:rPr>
        <w:t>级自然资源部门报备后妥善处置。对纳入处置闲置土地项目清单，以及调整规划条件后签订出让合同变更协议或重新签订出让合同的情形，确需延期缴纳土地出让价款的，可按规定经县人民政府批准，协调调整约定的分期缴纳时间和比例，适当延迟价款缴纳时间，最迟应在出让合同签订之日起两年内缴清。支持土地竞买人使用银行业金融机构开具的不可撤销、见索即付式的保函缴纳土地交易市场竞买保证金。在不增加政府隐性债务的前提下，支持通过依法依规收回、收购等方式稳妥处置已出让闲置存量土地。坚持以需定购，按照相关的保障性住房定价机制，可以房屋销售价格扣除建安成本及合理利润，作为土地价格收购的高限；市场评估价格，或企业实际支付的原地价款、利息及经审计确认的直接投入之和低于高限的，从低确定土地收购价格。收回、收购的存量土地，优先用于保障性住房和公共基础设施建设，也可优化规划条件后重新供应，帮助企业纾困解难。</w:t>
      </w:r>
      <w:r>
        <w:rPr>
          <w:rFonts w:hint="eastAsia" w:ascii="仿宋" w:hAnsi="仿宋" w:eastAsia="仿宋" w:cs="仿宋"/>
          <w:b/>
          <w:bCs/>
          <w:sz w:val="32"/>
          <w:szCs w:val="32"/>
        </w:rPr>
        <w:t>（责任单位：县自然资源局）</w:t>
      </w:r>
    </w:p>
    <w:p w14:paraId="20A81B13">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rPr>
      </w:pPr>
      <w:r>
        <w:rPr>
          <w:rFonts w:hint="eastAsia" w:ascii="黑体" w:hAnsi="黑体" w:eastAsia="黑体" w:cs="黑体"/>
          <w:b w:val="0"/>
          <w:bCs w:val="0"/>
          <w:sz w:val="32"/>
          <w:szCs w:val="32"/>
          <w:lang w:val="en-US" w:eastAsia="zh-CN"/>
        </w:rPr>
        <w:t>十九、支持房地产项目分期开发建设和土地分割处置。</w:t>
      </w:r>
      <w:r>
        <w:rPr>
          <w:rFonts w:hint="eastAsia" w:ascii="仿宋" w:hAnsi="仿宋" w:eastAsia="仿宋" w:cs="仿宋"/>
          <w:sz w:val="32"/>
          <w:szCs w:val="32"/>
        </w:rPr>
        <w:t>制定支持房地产项目分期开发建设的政策，明确分期办理规划许可审批手续、分期进行规划核实等措施。自本文件印发之日至2027年12月31日，对于因规划调整、企业经营困难或破产造成无法全部开发利用的土地，由开发企业提出申请，经</w:t>
      </w:r>
      <w:r>
        <w:rPr>
          <w:rFonts w:hint="eastAsia" w:ascii="仿宋" w:hAnsi="仿宋" w:eastAsia="仿宋" w:cs="仿宋"/>
          <w:sz w:val="32"/>
          <w:szCs w:val="32"/>
          <w:lang w:val="en-US" w:eastAsia="zh-CN"/>
        </w:rPr>
        <w:t>县</w:t>
      </w:r>
      <w:r>
        <w:rPr>
          <w:rFonts w:hint="eastAsia" w:ascii="仿宋" w:hAnsi="仿宋" w:eastAsia="仿宋" w:cs="仿宋"/>
          <w:sz w:val="32"/>
          <w:szCs w:val="32"/>
        </w:rPr>
        <w:t>人民政府批准，可按规定分割宗地。对于企业因经营需要不再继续开发，或无法继续开发的部分，可分割宗地转让给其他经营主体开发利用。允许未达到项目投资额25％的土地，在签订转让协议后，先办理预告登记，在投资额达到法定转让条件后再办理转让手续。加快推进房地产用地转让时“带押过户”，实现“带押过户”业务跨行办理。宗地分割后政府可依法依规收回，重新出具规划条件后重新供应。</w:t>
      </w:r>
      <w:r>
        <w:rPr>
          <w:rFonts w:hint="eastAsia" w:ascii="仿宋" w:hAnsi="仿宋" w:eastAsia="仿宋" w:cs="仿宋"/>
          <w:b/>
          <w:bCs/>
          <w:sz w:val="32"/>
          <w:szCs w:val="32"/>
        </w:rPr>
        <w:t>（责任单位：县自然资源局）</w:t>
      </w:r>
    </w:p>
    <w:p w14:paraId="11171B2B">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b/>
          <w:bCs/>
          <w:sz w:val="32"/>
          <w:szCs w:val="32"/>
        </w:rPr>
      </w:pPr>
      <w:r>
        <w:rPr>
          <w:rFonts w:hint="eastAsia" w:ascii="黑体" w:hAnsi="黑体" w:eastAsia="黑体" w:cs="黑体"/>
          <w:b w:val="0"/>
          <w:bCs w:val="0"/>
          <w:sz w:val="32"/>
          <w:szCs w:val="32"/>
          <w:lang w:val="en-US" w:eastAsia="zh-CN"/>
        </w:rPr>
        <w:t>二十、允许合理调整存量房地产项目用地规划条件。</w:t>
      </w:r>
      <w:r>
        <w:rPr>
          <w:rFonts w:hint="eastAsia" w:ascii="仿宋" w:hAnsi="仿宋" w:eastAsia="仿宋" w:cs="仿宋"/>
          <w:sz w:val="32"/>
          <w:szCs w:val="32"/>
        </w:rPr>
        <w:t>为提高公共服务设施水平和增加公共空间等正向优化，自本文件印发之日至2027年12月31日，对存量房地产项目用地，确需调整规划条件的，依据国土空间总体规划，完成所在片区公共服务设施容量评估、交通影响评价等可行性研究，在确保安全、公正、不妨碍相邻关系基础上，按程序依托国土空间规划“一张图”予以调整，如涉及修改详细规划的，应按法定程序进行。规划条件依法调整后，应签订出让合同变更协议或重新签订出让合同，相应调整土地出让价款。</w:t>
      </w:r>
      <w:r>
        <w:rPr>
          <w:rFonts w:hint="eastAsia" w:ascii="仿宋" w:hAnsi="仿宋" w:eastAsia="仿宋" w:cs="仿宋"/>
          <w:b/>
          <w:bCs/>
          <w:sz w:val="32"/>
          <w:szCs w:val="32"/>
        </w:rPr>
        <w:t>（责任单位：县自然资源局）</w:t>
      </w:r>
    </w:p>
    <w:p w14:paraId="0014242B">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b/>
          <w:bCs/>
          <w:sz w:val="32"/>
          <w:szCs w:val="32"/>
          <w:lang w:eastAsia="zh-CN"/>
        </w:rPr>
      </w:pPr>
      <w:r>
        <w:rPr>
          <w:rFonts w:hint="eastAsia" w:ascii="黑体" w:hAnsi="黑体" w:eastAsia="黑体" w:cs="黑体"/>
          <w:b w:val="0"/>
          <w:bCs w:val="0"/>
          <w:sz w:val="32"/>
          <w:szCs w:val="32"/>
          <w:lang w:val="en-US" w:eastAsia="zh-CN"/>
        </w:rPr>
        <w:t>二十一、合理降低开发成本。</w:t>
      </w:r>
      <w:r>
        <w:rPr>
          <w:rFonts w:hint="eastAsia" w:ascii="仿宋" w:hAnsi="仿宋" w:eastAsia="仿宋" w:cs="仿宋"/>
          <w:sz w:val="32"/>
          <w:szCs w:val="32"/>
        </w:rPr>
        <w:t>通过出让方式新取得建设用地使用权的商品房开发项目，用于生活公共配套独立设置的水泵房、垃圾收集屋（房）、配电室（开闭所）、门卫、5G通信机房以及土地出让合同约定应无偿移交政府的配套设施［幼儿园、托儿所、养老用房（老年人日间照料中心）、社区用房、社区卫生服务用房、小型垃圾转运站、公共厕所等］，其建筑面积不计入项目总计容建筑面积。对于上述无偿移交的配套设施，除国家、省、市有明确移交标准及土地出让合同有明确约定的外，原则上仅须按毛坯房标准移交。按照省、市相关规定，统一房产与规划建筑面积的计算口径，优化阳台、飘（凸）窗、设备平台、空调板、露台、客厅挑空、楼梯间等的计容建筑面积计算规则。</w:t>
      </w:r>
      <w:r>
        <w:rPr>
          <w:rFonts w:hint="eastAsia" w:ascii="仿宋" w:hAnsi="仿宋" w:eastAsia="仿宋" w:cs="仿宋"/>
          <w:b/>
          <w:bCs/>
          <w:sz w:val="32"/>
          <w:szCs w:val="32"/>
        </w:rPr>
        <w:t>（责任单位：县自然资源局、县住建局、县教体局、县民政局、县卫健委、县城管局</w:t>
      </w:r>
      <w:r>
        <w:rPr>
          <w:rFonts w:hint="eastAsia" w:ascii="仿宋" w:hAnsi="仿宋" w:eastAsia="仿宋" w:cs="仿宋"/>
          <w:b/>
          <w:bCs/>
          <w:sz w:val="32"/>
          <w:szCs w:val="32"/>
          <w:lang w:eastAsia="zh-CN"/>
        </w:rPr>
        <w:t>）</w:t>
      </w:r>
    </w:p>
    <w:p w14:paraId="69AE6DD0">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b/>
          <w:bCs/>
          <w:sz w:val="32"/>
          <w:szCs w:val="32"/>
          <w:lang w:eastAsia="zh-CN"/>
        </w:rPr>
      </w:pPr>
      <w:r>
        <w:rPr>
          <w:rFonts w:hint="eastAsia" w:ascii="黑体" w:hAnsi="黑体" w:eastAsia="黑体" w:cs="黑体"/>
          <w:b w:val="0"/>
          <w:bCs w:val="0"/>
          <w:sz w:val="32"/>
          <w:szCs w:val="32"/>
          <w:lang w:val="en-US" w:eastAsia="zh-CN"/>
        </w:rPr>
        <w:t>二十二、统筹配建居住服务设施。</w:t>
      </w:r>
      <w:r>
        <w:rPr>
          <w:rFonts w:hint="eastAsia" w:ascii="仿宋" w:hAnsi="仿宋" w:eastAsia="仿宋" w:cs="仿宋"/>
          <w:sz w:val="32"/>
          <w:szCs w:val="32"/>
        </w:rPr>
        <w:t>土地出让前，对拟出让地块周边城市居住区配套设施应按照《九江市城市居住区配套设施管理条例》和《九江市城镇社区配套设施设置指南》要求合理布局，除控制性详细规划和经相关行业主管部门批准的专项规划规定的外，原则上不再重复布置。鼓励商住类项目的配建商业相对集中布置，允许在城市主干道和特殊要求的区域外设置沿街商业。支持按项目性质及户型结构优化调整机动车停车配建指标，允许在小区出让用地范围内设置总机动车泊位数量10％以下的地面机动车泊位。</w:t>
      </w:r>
      <w:r>
        <w:rPr>
          <w:rFonts w:hint="eastAsia" w:ascii="仿宋" w:hAnsi="仿宋" w:eastAsia="仿宋" w:cs="仿宋"/>
          <w:b/>
          <w:bCs/>
          <w:sz w:val="32"/>
          <w:szCs w:val="32"/>
        </w:rPr>
        <w:t>（责任单位：县自然资源局、县教体局、县民政局、县城管局</w:t>
      </w:r>
      <w:r>
        <w:rPr>
          <w:rFonts w:hint="eastAsia" w:ascii="仿宋" w:hAnsi="仿宋" w:eastAsia="仿宋" w:cs="仿宋"/>
          <w:b/>
          <w:bCs/>
          <w:sz w:val="32"/>
          <w:szCs w:val="32"/>
          <w:lang w:eastAsia="zh-CN"/>
        </w:rPr>
        <w:t>、县公安局）</w:t>
      </w:r>
    </w:p>
    <w:p w14:paraId="4AFF6177">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b/>
          <w:bCs/>
          <w:sz w:val="32"/>
          <w:szCs w:val="32"/>
          <w:lang w:eastAsia="zh-CN"/>
        </w:rPr>
      </w:pPr>
      <w:r>
        <w:rPr>
          <w:rFonts w:hint="eastAsia" w:ascii="黑体" w:hAnsi="黑体" w:eastAsia="黑体" w:cs="黑体"/>
          <w:b w:val="0"/>
          <w:bCs w:val="0"/>
          <w:sz w:val="32"/>
          <w:szCs w:val="32"/>
          <w:lang w:val="en-US" w:eastAsia="zh-CN"/>
        </w:rPr>
        <w:t>二十三、加快解决存量商品住房登记历史遗留问题。</w:t>
      </w:r>
      <w:r>
        <w:rPr>
          <w:rFonts w:hint="eastAsia" w:ascii="仿宋" w:hAnsi="仿宋" w:eastAsia="仿宋" w:cs="仿宋"/>
          <w:sz w:val="32"/>
          <w:szCs w:val="32"/>
        </w:rPr>
        <w:t>加快解决已交付商品住宅项目各类影响办证的问题，对未竣工验收、未规划核实、土地被抵押、涉及查封、房地产企业欠缴税费等导致办证难的各种情形，实行分类施策，开展集中攻坚，补充完善相关手续，办理登记发证。</w:t>
      </w:r>
      <w:r>
        <w:rPr>
          <w:rFonts w:hint="eastAsia" w:ascii="仿宋" w:hAnsi="仿宋" w:eastAsia="仿宋" w:cs="仿宋"/>
          <w:b/>
          <w:bCs/>
          <w:sz w:val="32"/>
          <w:szCs w:val="32"/>
        </w:rPr>
        <w:t>（责任单位：</w:t>
      </w:r>
      <w:r>
        <w:rPr>
          <w:rFonts w:hint="eastAsia" w:ascii="仿宋" w:hAnsi="仿宋" w:eastAsia="仿宋" w:cs="仿宋"/>
          <w:b/>
          <w:bCs/>
          <w:sz w:val="32"/>
          <w:szCs w:val="32"/>
          <w:lang w:val="en-US" w:eastAsia="zh-CN"/>
        </w:rPr>
        <w:t>县</w:t>
      </w:r>
      <w:r>
        <w:rPr>
          <w:rFonts w:hint="eastAsia" w:ascii="仿宋" w:hAnsi="仿宋" w:eastAsia="仿宋" w:cs="仿宋"/>
          <w:b/>
          <w:bCs/>
          <w:sz w:val="32"/>
          <w:szCs w:val="32"/>
        </w:rPr>
        <w:t>自然资源局、</w:t>
      </w:r>
      <w:r>
        <w:rPr>
          <w:rFonts w:hint="eastAsia" w:ascii="仿宋" w:hAnsi="仿宋" w:eastAsia="仿宋" w:cs="仿宋"/>
          <w:b/>
          <w:bCs/>
          <w:sz w:val="32"/>
          <w:szCs w:val="32"/>
          <w:lang w:val="en-US" w:eastAsia="zh-CN"/>
        </w:rPr>
        <w:t>县</w:t>
      </w:r>
      <w:r>
        <w:rPr>
          <w:rFonts w:hint="eastAsia" w:ascii="仿宋" w:hAnsi="仿宋" w:eastAsia="仿宋" w:cs="仿宋"/>
          <w:b/>
          <w:bCs/>
          <w:sz w:val="32"/>
          <w:szCs w:val="32"/>
        </w:rPr>
        <w:t>住建局、</w:t>
      </w:r>
      <w:r>
        <w:rPr>
          <w:rFonts w:hint="eastAsia" w:ascii="仿宋" w:hAnsi="仿宋" w:eastAsia="仿宋" w:cs="仿宋"/>
          <w:b/>
          <w:bCs/>
          <w:sz w:val="32"/>
          <w:szCs w:val="32"/>
          <w:lang w:val="en-US" w:eastAsia="zh-CN"/>
        </w:rPr>
        <w:t>县</w:t>
      </w:r>
      <w:r>
        <w:rPr>
          <w:rFonts w:hint="eastAsia" w:ascii="仿宋" w:hAnsi="仿宋" w:eastAsia="仿宋" w:cs="仿宋"/>
          <w:b/>
          <w:bCs/>
          <w:sz w:val="32"/>
          <w:szCs w:val="32"/>
        </w:rPr>
        <w:t>税务局</w:t>
      </w:r>
      <w:r>
        <w:rPr>
          <w:rFonts w:hint="eastAsia" w:ascii="仿宋" w:hAnsi="仿宋" w:eastAsia="仿宋" w:cs="仿宋"/>
          <w:b/>
          <w:bCs/>
          <w:sz w:val="32"/>
          <w:szCs w:val="32"/>
          <w:lang w:eastAsia="zh-CN"/>
        </w:rPr>
        <w:t>）</w:t>
      </w:r>
    </w:p>
    <w:p w14:paraId="67EE32F8">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b/>
          <w:bCs/>
          <w:sz w:val="32"/>
          <w:szCs w:val="32"/>
        </w:rPr>
      </w:pPr>
      <w:r>
        <w:rPr>
          <w:rFonts w:hint="eastAsia" w:ascii="黑体" w:hAnsi="黑体" w:eastAsia="黑体" w:cs="黑体"/>
          <w:b w:val="0"/>
          <w:bCs w:val="0"/>
          <w:sz w:val="32"/>
          <w:szCs w:val="32"/>
          <w:lang w:val="en-US" w:eastAsia="zh-CN"/>
        </w:rPr>
        <w:t>二十四、持续规范房地产市场秩序。</w:t>
      </w:r>
      <w:r>
        <w:rPr>
          <w:rFonts w:hint="eastAsia" w:ascii="仿宋" w:hAnsi="仿宋" w:eastAsia="仿宋" w:cs="仿宋"/>
          <w:sz w:val="32"/>
          <w:szCs w:val="32"/>
        </w:rPr>
        <w:t>持续加强房地产销售市场、二手房市场、中介机构及从业人员的管理，严肃查处虚假宣传、虚假交易等违法违规行为，净化市场环境，维护群众合法权益。</w:t>
      </w:r>
      <w:r>
        <w:rPr>
          <w:rFonts w:hint="eastAsia" w:ascii="仿宋" w:hAnsi="仿宋" w:eastAsia="仿宋" w:cs="仿宋"/>
          <w:b/>
          <w:bCs/>
          <w:sz w:val="32"/>
          <w:szCs w:val="32"/>
        </w:rPr>
        <w:t>（责任单位：</w:t>
      </w:r>
      <w:r>
        <w:rPr>
          <w:rFonts w:hint="eastAsia" w:ascii="仿宋" w:hAnsi="仿宋" w:eastAsia="仿宋" w:cs="仿宋"/>
          <w:b/>
          <w:bCs/>
          <w:sz w:val="32"/>
          <w:szCs w:val="32"/>
          <w:lang w:val="en-US" w:eastAsia="zh-CN"/>
        </w:rPr>
        <w:t>县</w:t>
      </w:r>
      <w:r>
        <w:rPr>
          <w:rFonts w:hint="eastAsia" w:ascii="仿宋" w:hAnsi="仿宋" w:eastAsia="仿宋" w:cs="仿宋"/>
          <w:b/>
          <w:bCs/>
          <w:sz w:val="32"/>
          <w:szCs w:val="32"/>
        </w:rPr>
        <w:t>住建局、</w:t>
      </w:r>
      <w:r>
        <w:rPr>
          <w:rFonts w:hint="eastAsia" w:ascii="仿宋" w:hAnsi="仿宋" w:eastAsia="仿宋" w:cs="仿宋"/>
          <w:b/>
          <w:bCs/>
          <w:sz w:val="32"/>
          <w:szCs w:val="32"/>
          <w:lang w:val="en-US" w:eastAsia="zh-CN"/>
        </w:rPr>
        <w:t>县</w:t>
      </w:r>
      <w:r>
        <w:rPr>
          <w:rFonts w:hint="eastAsia" w:ascii="仿宋" w:hAnsi="仿宋" w:eastAsia="仿宋" w:cs="仿宋"/>
          <w:b/>
          <w:bCs/>
          <w:sz w:val="32"/>
          <w:szCs w:val="32"/>
        </w:rPr>
        <w:t>市监局、</w:t>
      </w:r>
      <w:r>
        <w:rPr>
          <w:rFonts w:hint="eastAsia" w:ascii="仿宋" w:hAnsi="仿宋" w:eastAsia="仿宋" w:cs="仿宋"/>
          <w:b/>
          <w:bCs/>
          <w:sz w:val="32"/>
          <w:szCs w:val="32"/>
          <w:lang w:val="en-US" w:eastAsia="zh-CN"/>
        </w:rPr>
        <w:t>县</w:t>
      </w:r>
      <w:r>
        <w:rPr>
          <w:rFonts w:hint="eastAsia" w:ascii="仿宋" w:hAnsi="仿宋" w:eastAsia="仿宋" w:cs="仿宋"/>
          <w:b/>
          <w:bCs/>
          <w:sz w:val="32"/>
          <w:szCs w:val="32"/>
        </w:rPr>
        <w:t>税务局）</w:t>
      </w:r>
    </w:p>
    <w:p w14:paraId="3952A2CE">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b/>
          <w:bCs/>
          <w:sz w:val="32"/>
          <w:szCs w:val="32"/>
          <w:lang w:eastAsia="zh-CN"/>
        </w:rPr>
      </w:pPr>
      <w:r>
        <w:rPr>
          <w:rFonts w:hint="eastAsia" w:ascii="黑体" w:hAnsi="黑体" w:eastAsia="黑体" w:cs="黑体"/>
          <w:b w:val="0"/>
          <w:bCs w:val="0"/>
          <w:sz w:val="32"/>
          <w:szCs w:val="32"/>
          <w:lang w:val="en-US" w:eastAsia="zh-CN"/>
        </w:rPr>
        <w:t>二十五、营造良好舆论氛围。</w:t>
      </w:r>
      <w:r>
        <w:rPr>
          <w:rFonts w:hint="eastAsia" w:ascii="仿宋" w:hAnsi="仿宋" w:eastAsia="仿宋" w:cs="仿宋"/>
          <w:sz w:val="32"/>
          <w:szCs w:val="32"/>
        </w:rPr>
        <w:t>加大房地产市场政策宣传力度，正面引导住房消费，稳定市场预期。引导房地产开发企业主动应对市场变化，采取积极有效的措施，促进市场交易，增强市场信心，形成促进房地产市场平稳健康发展的舆论氛围。</w:t>
      </w:r>
      <w:r>
        <w:rPr>
          <w:rFonts w:hint="eastAsia" w:ascii="仿宋" w:hAnsi="仿宋" w:eastAsia="仿宋" w:cs="仿宋"/>
          <w:b/>
          <w:bCs/>
          <w:sz w:val="32"/>
          <w:szCs w:val="32"/>
        </w:rPr>
        <w:t>（责任单位：</w:t>
      </w:r>
      <w:r>
        <w:rPr>
          <w:rFonts w:hint="eastAsia" w:ascii="仿宋" w:hAnsi="仿宋" w:eastAsia="仿宋" w:cs="仿宋"/>
          <w:b/>
          <w:bCs/>
          <w:sz w:val="32"/>
          <w:szCs w:val="32"/>
          <w:lang w:val="en-US" w:eastAsia="zh-CN"/>
        </w:rPr>
        <w:t>县</w:t>
      </w:r>
      <w:r>
        <w:rPr>
          <w:rFonts w:hint="eastAsia" w:ascii="仿宋" w:hAnsi="仿宋" w:eastAsia="仿宋" w:cs="仿宋"/>
          <w:b/>
          <w:bCs/>
          <w:sz w:val="32"/>
          <w:szCs w:val="32"/>
        </w:rPr>
        <w:t>委宣传部、</w:t>
      </w:r>
      <w:r>
        <w:rPr>
          <w:rFonts w:hint="eastAsia" w:ascii="仿宋" w:hAnsi="仿宋" w:eastAsia="仿宋" w:cs="仿宋"/>
          <w:b/>
          <w:bCs/>
          <w:sz w:val="32"/>
          <w:szCs w:val="32"/>
          <w:lang w:val="en-US" w:eastAsia="zh-CN"/>
        </w:rPr>
        <w:t>县</w:t>
      </w:r>
      <w:r>
        <w:rPr>
          <w:rFonts w:hint="eastAsia" w:ascii="仿宋" w:hAnsi="仿宋" w:eastAsia="仿宋" w:cs="仿宋"/>
          <w:b/>
          <w:bCs/>
          <w:sz w:val="32"/>
          <w:szCs w:val="32"/>
        </w:rPr>
        <w:t>住建局、</w:t>
      </w:r>
      <w:r>
        <w:rPr>
          <w:rFonts w:hint="eastAsia" w:ascii="仿宋" w:hAnsi="仿宋" w:eastAsia="仿宋" w:cs="仿宋"/>
          <w:b/>
          <w:bCs/>
          <w:sz w:val="32"/>
          <w:szCs w:val="32"/>
          <w:lang w:val="en-US" w:eastAsia="zh-CN"/>
        </w:rPr>
        <w:t>县</w:t>
      </w:r>
      <w:r>
        <w:rPr>
          <w:rFonts w:hint="eastAsia" w:ascii="仿宋" w:hAnsi="仿宋" w:eastAsia="仿宋" w:cs="仿宋"/>
          <w:b/>
          <w:bCs/>
          <w:sz w:val="32"/>
          <w:szCs w:val="32"/>
        </w:rPr>
        <w:t>融媒体中心</w:t>
      </w:r>
      <w:r>
        <w:rPr>
          <w:rFonts w:hint="eastAsia" w:ascii="仿宋" w:hAnsi="仿宋" w:eastAsia="仿宋" w:cs="仿宋"/>
          <w:b/>
          <w:bCs/>
          <w:sz w:val="32"/>
          <w:szCs w:val="32"/>
          <w:lang w:eastAsia="zh-CN"/>
        </w:rPr>
        <w:t>）</w:t>
      </w:r>
    </w:p>
    <w:p w14:paraId="67558A0B">
      <w:pPr>
        <w:pStyle w:val="4"/>
        <w:keepNext w:val="0"/>
        <w:keepLines w:val="0"/>
        <w:pageBreakBefore w:val="0"/>
        <w:widowControl w:val="0"/>
        <w:kinsoku/>
        <w:wordWrap/>
        <w:overflowPunct/>
        <w:topLinePunct w:val="0"/>
        <w:autoSpaceDE/>
        <w:autoSpaceDN/>
        <w:bidi w:val="0"/>
        <w:adjustRightInd/>
        <w:snapToGrid/>
        <w:spacing w:before="0" w:line="60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对2022年6月8日至2023年3月31日期间享受阶段性购房补贴及契税补贴的，补贴受理时间延长至2026年12月31日。</w:t>
      </w:r>
      <w:r>
        <w:rPr>
          <w:rFonts w:hint="eastAsia" w:ascii="仿宋" w:hAnsi="仿宋" w:eastAsia="仿宋" w:cs="仿宋"/>
          <w:sz w:val="32"/>
          <w:szCs w:val="32"/>
        </w:rPr>
        <w:t>《关于印发进一步促进房地产市场平稳健康发展的若干措施的通知》（</w:t>
      </w:r>
      <w:r>
        <w:rPr>
          <w:rFonts w:hint="eastAsia" w:ascii="仿宋" w:hAnsi="仿宋" w:eastAsia="仿宋" w:cs="仿宋"/>
          <w:sz w:val="32"/>
          <w:szCs w:val="32"/>
          <w:u w:val="none"/>
        </w:rPr>
        <w:t>德府</w:t>
      </w:r>
      <w:r>
        <w:rPr>
          <w:rFonts w:hint="eastAsia" w:ascii="仿宋" w:hAnsi="仿宋" w:eastAsia="仿宋" w:cs="仿宋"/>
          <w:sz w:val="32"/>
          <w:szCs w:val="32"/>
          <w:u w:val="none"/>
          <w:lang w:eastAsia="zh-CN"/>
        </w:rPr>
        <w:t>办字</w:t>
      </w:r>
      <w:r>
        <w:rPr>
          <w:rFonts w:hint="eastAsia" w:ascii="仿宋" w:hAnsi="仿宋" w:eastAsia="仿宋" w:cs="仿宋"/>
          <w:sz w:val="32"/>
          <w:szCs w:val="32"/>
          <w:u w:val="none"/>
        </w:rPr>
        <w:t>〔202</w:t>
      </w:r>
      <w:r>
        <w:rPr>
          <w:rFonts w:hint="eastAsia" w:ascii="仿宋" w:hAnsi="仿宋" w:eastAsia="仿宋" w:cs="仿宋"/>
          <w:sz w:val="32"/>
          <w:szCs w:val="32"/>
          <w:u w:val="none"/>
          <w:lang w:val="en-US" w:eastAsia="zh-CN"/>
        </w:rPr>
        <w:t>3</w:t>
      </w:r>
      <w:r>
        <w:rPr>
          <w:rFonts w:hint="eastAsia" w:ascii="仿宋" w:hAnsi="仿宋" w:eastAsia="仿宋" w:cs="仿宋"/>
          <w:sz w:val="32"/>
          <w:szCs w:val="32"/>
          <w:u w:val="none"/>
        </w:rPr>
        <w:t>〕</w:t>
      </w:r>
      <w:r>
        <w:rPr>
          <w:rFonts w:hint="eastAsia" w:ascii="仿宋" w:hAnsi="仿宋" w:eastAsia="仿宋" w:cs="仿宋"/>
          <w:sz w:val="32"/>
          <w:szCs w:val="32"/>
          <w:u w:val="none"/>
          <w:lang w:val="en-US" w:eastAsia="zh-CN"/>
        </w:rPr>
        <w:t>74</w:t>
      </w:r>
      <w:r>
        <w:rPr>
          <w:rFonts w:hint="eastAsia" w:ascii="仿宋" w:hAnsi="仿宋" w:eastAsia="仿宋" w:cs="仿宋"/>
          <w:sz w:val="32"/>
          <w:szCs w:val="32"/>
          <w:u w:val="none"/>
        </w:rPr>
        <w:t>号</w:t>
      </w:r>
      <w:r>
        <w:rPr>
          <w:rFonts w:hint="eastAsia" w:ascii="仿宋" w:hAnsi="仿宋" w:eastAsia="仿宋" w:cs="仿宋"/>
          <w:sz w:val="32"/>
          <w:szCs w:val="32"/>
        </w:rPr>
        <w:t>）中相关政策继续有效，如与本措施内容不一致或有重叠，以本</w:t>
      </w:r>
      <w:r>
        <w:rPr>
          <w:rFonts w:hint="eastAsia" w:ascii="仿宋" w:hAnsi="仿宋" w:eastAsia="仿宋" w:cs="仿宋"/>
          <w:sz w:val="32"/>
          <w:szCs w:val="32"/>
          <w:lang w:val="en-US" w:eastAsia="zh-CN"/>
        </w:rPr>
        <w:t>次措施</w:t>
      </w:r>
      <w:r>
        <w:rPr>
          <w:rFonts w:hint="eastAsia" w:ascii="仿宋" w:hAnsi="仿宋" w:eastAsia="仿宋" w:cs="仿宋"/>
          <w:sz w:val="32"/>
          <w:szCs w:val="32"/>
        </w:rPr>
        <w:t>为准。如遇上级政策调整，</w:t>
      </w:r>
      <w:r>
        <w:rPr>
          <w:rFonts w:hint="eastAsia" w:ascii="仿宋" w:hAnsi="仿宋" w:eastAsia="仿宋" w:cs="仿宋"/>
          <w:sz w:val="32"/>
          <w:szCs w:val="32"/>
          <w:lang w:val="en-US" w:eastAsia="zh-CN"/>
        </w:rPr>
        <w:t>按</w:t>
      </w:r>
      <w:r>
        <w:rPr>
          <w:rFonts w:hint="eastAsia" w:ascii="仿宋" w:hAnsi="仿宋" w:eastAsia="仿宋" w:cs="仿宋"/>
          <w:sz w:val="32"/>
          <w:szCs w:val="32"/>
        </w:rPr>
        <w:t>调整后政策</w:t>
      </w:r>
      <w:r>
        <w:rPr>
          <w:rFonts w:hint="eastAsia" w:ascii="仿宋" w:hAnsi="仿宋" w:eastAsia="仿宋" w:cs="仿宋"/>
          <w:sz w:val="32"/>
          <w:szCs w:val="32"/>
          <w:lang w:val="en-US" w:eastAsia="zh-CN"/>
        </w:rPr>
        <w:t>执行</w:t>
      </w:r>
      <w:r>
        <w:rPr>
          <w:rFonts w:hint="eastAsia" w:ascii="仿宋" w:hAnsi="仿宋" w:eastAsia="仿宋" w:cs="仿宋"/>
          <w:sz w:val="32"/>
          <w:szCs w:val="32"/>
        </w:rPr>
        <w:t>。</w:t>
      </w:r>
    </w:p>
    <w:p w14:paraId="7647412F">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eastAsia" w:ascii="仿宋" w:hAnsi="仿宋" w:eastAsia="仿宋" w:cs="仿宋"/>
          <w:sz w:val="32"/>
          <w:szCs w:val="32"/>
        </w:rPr>
      </w:pPr>
    </w:p>
    <w:p w14:paraId="482A10A9">
      <w:pPr>
        <w:keepNext w:val="0"/>
        <w:keepLines w:val="0"/>
        <w:pageBreakBefore w:val="0"/>
        <w:widowControl w:val="0"/>
        <w:kinsoku/>
        <w:wordWrap/>
        <w:overflowPunct/>
        <w:topLinePunct w:val="0"/>
        <w:autoSpaceDE/>
        <w:autoSpaceDN/>
        <w:bidi w:val="0"/>
        <w:adjustRightInd/>
        <w:snapToGrid/>
        <w:spacing w:line="600" w:lineRule="exact"/>
        <w:ind w:left="0"/>
        <w:textAlignment w:val="auto"/>
      </w:pPr>
    </w:p>
    <w:p w14:paraId="51316E30">
      <w:pPr>
        <w:pStyle w:val="2"/>
      </w:pPr>
    </w:p>
    <w:p w14:paraId="66E2C0E9">
      <w:pPr>
        <w:pStyle w:val="2"/>
        <w:sectPr>
          <w:footerReference r:id="rId3" w:type="default"/>
          <w:pgSz w:w="11906" w:h="16838"/>
          <w:pgMar w:top="2098" w:right="1474" w:bottom="1984" w:left="1587" w:header="851" w:footer="992" w:gutter="0"/>
          <w:pgNumType w:fmt="numberInDash"/>
          <w:cols w:space="425" w:num="1"/>
          <w:docGrid w:type="lines" w:linePitch="312" w:charSpace="0"/>
        </w:sectPr>
      </w:pPr>
    </w:p>
    <w:p w14:paraId="26E56718">
      <w:pPr>
        <w:pStyle w:val="2"/>
      </w:pPr>
    </w:p>
    <w:p w14:paraId="70672896">
      <w:pPr>
        <w:pStyle w:val="2"/>
      </w:pPr>
    </w:p>
    <w:p w14:paraId="1390A3F7">
      <w:pPr>
        <w:pStyle w:val="2"/>
      </w:pPr>
    </w:p>
    <w:p w14:paraId="66D3F100">
      <w:pPr>
        <w:pStyle w:val="2"/>
      </w:pPr>
    </w:p>
    <w:p w14:paraId="5DAD5456">
      <w:pPr>
        <w:pStyle w:val="2"/>
      </w:pPr>
    </w:p>
    <w:p w14:paraId="1C7ABF5C">
      <w:pPr>
        <w:pStyle w:val="2"/>
      </w:pPr>
    </w:p>
    <w:p w14:paraId="39E66B8A">
      <w:pPr>
        <w:pStyle w:val="2"/>
      </w:pPr>
    </w:p>
    <w:p w14:paraId="2FFF7ACA">
      <w:pPr>
        <w:pStyle w:val="2"/>
      </w:pPr>
    </w:p>
    <w:p w14:paraId="131124DB">
      <w:pPr>
        <w:pStyle w:val="2"/>
      </w:pPr>
    </w:p>
    <w:p w14:paraId="32A0E2C7">
      <w:pPr>
        <w:pStyle w:val="2"/>
      </w:pPr>
    </w:p>
    <w:p w14:paraId="357AD339">
      <w:pPr>
        <w:pStyle w:val="2"/>
      </w:pPr>
    </w:p>
    <w:p w14:paraId="2B150168">
      <w:pPr>
        <w:pStyle w:val="2"/>
      </w:pPr>
    </w:p>
    <w:p w14:paraId="15630167">
      <w:pPr>
        <w:pStyle w:val="2"/>
      </w:pPr>
    </w:p>
    <w:p w14:paraId="60376588">
      <w:pPr>
        <w:pStyle w:val="2"/>
      </w:pPr>
    </w:p>
    <w:p w14:paraId="393625EC">
      <w:pPr>
        <w:pStyle w:val="2"/>
      </w:pPr>
    </w:p>
    <w:p w14:paraId="1FE61432">
      <w:pPr>
        <w:pStyle w:val="2"/>
      </w:pPr>
    </w:p>
    <w:p w14:paraId="64DDE133">
      <w:pPr>
        <w:pStyle w:val="2"/>
      </w:pPr>
    </w:p>
    <w:p w14:paraId="38AF52CD">
      <w:pPr>
        <w:pStyle w:val="2"/>
        <w:sectPr>
          <w:footerReference r:id="rId4" w:type="default"/>
          <w:pgSz w:w="11906" w:h="16838"/>
          <w:pgMar w:top="2098" w:right="1474" w:bottom="1984" w:left="1587" w:header="851" w:footer="992" w:gutter="0"/>
          <w:pgNumType w:fmt="numberInDash"/>
          <w:cols w:space="425" w:num="1"/>
          <w:docGrid w:type="lines" w:linePitch="312" w:charSpace="0"/>
        </w:sectPr>
      </w:pPr>
    </w:p>
    <w:p w14:paraId="6794C2A3">
      <w:pPr>
        <w:pStyle w:val="2"/>
      </w:pPr>
    </w:p>
    <w:p w14:paraId="27008556">
      <w:pPr>
        <w:pStyle w:val="2"/>
      </w:pPr>
    </w:p>
    <w:p w14:paraId="26209A28">
      <w:pPr>
        <w:pStyle w:val="2"/>
      </w:pPr>
    </w:p>
    <w:p w14:paraId="339045C3">
      <w:pPr>
        <w:pStyle w:val="2"/>
      </w:pPr>
    </w:p>
    <w:p w14:paraId="229995B8">
      <w:pPr>
        <w:pStyle w:val="2"/>
      </w:pPr>
    </w:p>
    <w:p w14:paraId="5CD8E311">
      <w:pPr>
        <w:pStyle w:val="2"/>
      </w:pPr>
    </w:p>
    <w:p w14:paraId="49E82807">
      <w:pPr>
        <w:pStyle w:val="2"/>
      </w:pPr>
    </w:p>
    <w:p w14:paraId="24BCD52F">
      <w:pPr>
        <w:pStyle w:val="2"/>
      </w:pPr>
    </w:p>
    <w:p w14:paraId="27C4E3C8">
      <w:pPr>
        <w:pStyle w:val="2"/>
      </w:pPr>
    </w:p>
    <w:p w14:paraId="7B606123">
      <w:pPr>
        <w:pStyle w:val="2"/>
      </w:pPr>
    </w:p>
    <w:p w14:paraId="36B7AC42">
      <w:pPr>
        <w:pStyle w:val="2"/>
      </w:pPr>
    </w:p>
    <w:p w14:paraId="401912E9">
      <w:pPr>
        <w:pStyle w:val="2"/>
      </w:pPr>
    </w:p>
    <w:p w14:paraId="26E30D70">
      <w:pPr>
        <w:pStyle w:val="2"/>
        <w:ind w:left="0" w:leftChars="0" w:firstLine="0" w:firstLineChars="0"/>
      </w:pPr>
    </w:p>
    <w:p w14:paraId="3D0F9C84">
      <w:pPr>
        <w:pStyle w:val="2"/>
        <w:ind w:left="0" w:leftChars="0" w:firstLine="0" w:firstLineChars="0"/>
      </w:pPr>
    </w:p>
    <w:p w14:paraId="0FB23A40">
      <w:pPr>
        <w:pStyle w:val="2"/>
        <w:ind w:left="0" w:leftChars="0" w:firstLine="0" w:firstLineChars="0"/>
      </w:pPr>
    </w:p>
    <w:p w14:paraId="55BAAD15">
      <w:pPr>
        <w:pStyle w:val="2"/>
        <w:pBdr>
          <w:bottom w:val="none" w:color="auto" w:sz="0" w:space="0"/>
        </w:pBdr>
        <w:ind w:left="0" w:leftChars="0" w:firstLine="0" w:firstLineChars="0"/>
      </w:pPr>
    </w:p>
    <w:p w14:paraId="3555BCE9">
      <w:pPr>
        <w:pStyle w:val="2"/>
        <w:pBdr>
          <w:top w:val="single" w:color="auto" w:sz="4" w:space="0"/>
          <w:bottom w:val="single" w:color="auto" w:sz="4" w:space="0"/>
        </w:pBdr>
        <w:ind w:left="0" w:leftChars="0" w:firstLine="280" w:firstLineChars="100"/>
        <w:rPr>
          <w:rFonts w:hint="default"/>
          <w:lang w:val="en-US" w:eastAsia="zh-CN"/>
        </w:rPr>
      </w:pPr>
      <w:r>
        <w:rPr>
          <w:rFonts w:hint="eastAsia" w:ascii="仿宋" w:hAnsi="仿宋" w:eastAsia="仿宋" w:cs="仿宋"/>
          <w:sz w:val="28"/>
          <w:szCs w:val="24"/>
          <w:lang w:eastAsia="zh-CN"/>
        </w:rPr>
        <w:t>德安县人民政府办公室</w:t>
      </w:r>
      <w:r>
        <w:rPr>
          <w:rFonts w:hint="eastAsia" w:ascii="仿宋" w:hAnsi="仿宋" w:eastAsia="仿宋" w:cs="仿宋"/>
          <w:sz w:val="28"/>
          <w:szCs w:val="24"/>
          <w:lang w:val="en-US" w:eastAsia="zh-CN"/>
        </w:rPr>
        <w:t xml:space="preserve">                   2024年8月29日印发</w:t>
      </w:r>
    </w:p>
    <w:sectPr>
      <w:footerReference r:id="rId5"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大标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A7A07">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3F2934D">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03F2934D">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28987">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06130">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NlODFkY2YyMTRkNjZlNDdjODNiNjNhZGQ4ODliOTUifQ=="/>
  </w:docVars>
  <w:rsids>
    <w:rsidRoot w:val="4DFF227B"/>
    <w:rsid w:val="000D6A89"/>
    <w:rsid w:val="033724AD"/>
    <w:rsid w:val="0DC83A03"/>
    <w:rsid w:val="1C314E69"/>
    <w:rsid w:val="22C457F5"/>
    <w:rsid w:val="2F154177"/>
    <w:rsid w:val="3AC70A1B"/>
    <w:rsid w:val="45430328"/>
    <w:rsid w:val="486E01A4"/>
    <w:rsid w:val="49EC47D8"/>
    <w:rsid w:val="4CD33BDB"/>
    <w:rsid w:val="4DFF227B"/>
    <w:rsid w:val="625D7BF0"/>
    <w:rsid w:val="62AF39BF"/>
    <w:rsid w:val="776B5CAF"/>
    <w:rsid w:val="7B0B4B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正文 + 宋体"/>
    <w:basedOn w:val="3"/>
    <w:autoRedefine/>
    <w:unhideWhenUsed/>
    <w:qFormat/>
    <w:uiPriority w:val="0"/>
    <w:pPr>
      <w:spacing w:line="360" w:lineRule="auto"/>
      <w:ind w:firstLine="480"/>
    </w:pPr>
    <w:rPr>
      <w:rFonts w:hint="eastAsia" w:ascii="宋体" w:hAnsi="宋体"/>
      <w:szCs w:val="22"/>
    </w:rPr>
  </w:style>
  <w:style w:type="paragraph" w:styleId="3">
    <w:name w:val="Normal (Web)"/>
    <w:basedOn w:val="1"/>
    <w:qFormat/>
    <w:uiPriority w:val="0"/>
    <w:pPr>
      <w:spacing w:before="100" w:beforeAutospacing="1" w:after="100" w:afterAutospacing="1"/>
      <w:jc w:val="left"/>
    </w:pPr>
    <w:rPr>
      <w:kern w:val="0"/>
      <w:sz w:val="24"/>
    </w:rPr>
  </w:style>
  <w:style w:type="paragraph" w:styleId="4">
    <w:name w:val="Body Text"/>
    <w:basedOn w:val="1"/>
    <w:next w:val="1"/>
    <w:qFormat/>
    <w:uiPriority w:val="1"/>
    <w:pPr>
      <w:spacing w:before="214"/>
      <w:ind w:left="120"/>
    </w:pPr>
    <w:rPr>
      <w:rFonts w:ascii="仿宋" w:hAnsi="仿宋" w:eastAsia="仿宋" w:cs="仿宋"/>
      <w:sz w:val="32"/>
      <w:szCs w:val="32"/>
      <w:lang w:val="en-US" w:eastAsia="zh-CN" w:bidi="ar-SA"/>
    </w:rPr>
  </w:style>
  <w:style w:type="paragraph" w:styleId="5">
    <w:name w:val="toc 5"/>
    <w:basedOn w:val="1"/>
    <w:next w:val="1"/>
    <w:unhideWhenUsed/>
    <w:qFormat/>
    <w:uiPriority w:val="39"/>
    <w:pPr>
      <w:ind w:left="1280"/>
      <w:jc w:val="left"/>
    </w:pPr>
    <w:rPr>
      <w:rFonts w:eastAsia="Calibri"/>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7061</Words>
  <Characters>7173</Characters>
  <Lines>0</Lines>
  <Paragraphs>0</Paragraphs>
  <TotalTime>9</TotalTime>
  <ScaleCrop>false</ScaleCrop>
  <LinksUpToDate>false</LinksUpToDate>
  <CharactersWithSpaces>7174</CharactersWithSpaces>
  <Application>WPS Office_12.1.0.18196_F1E327BC-269C-435d-A152-05C5408002CA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2024-08-21T03:57:00Z</dcterms:created>
  <dc:creator>海阔天空</dc:creator>
  <cp:lastModifiedBy>蕾蕾</cp:lastModifiedBy>
  <cp:lastPrinted>2024-09-02T00:36:21Z</cp:lastPrinted>
  <dcterms:modified xsi:type="dcterms:W3CDTF">2024-09-02T00:56:44Z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2052-12.1.0.18196</vt:lpwstr>
  </property>
  <property fmtid="{D5CDD505-2E9C-101B-9397-08002B2CF9AE}" pid="3" name="ICV">
    <vt:lpwstr>F8BDCED2F81140BA8D8D198DF6B7ACAE_13</vt:lpwstr>
  </property>
</Properties>
</file>