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right"/>
        <w:textAlignment w:val="baseline"/>
        <w:rPr>
          <w:rFonts w:hint="eastAsia" w:ascii="黑体" w:hAnsi="黑体" w:eastAsia="黑体"/>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u w:val="none"/>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u w:val="none"/>
        </w:rPr>
      </w:pPr>
    </w:p>
    <w:p>
      <w:pPr>
        <w:jc w:val="distribute"/>
        <w:rPr>
          <w:rFonts w:eastAsia="方正大标宋简体"/>
          <w:color w:val="FF0000"/>
          <w:spacing w:val="-11"/>
          <w:w w:val="75"/>
          <w:sz w:val="96"/>
          <w:szCs w:val="96"/>
          <w:u w:val="none"/>
        </w:rPr>
      </w:pPr>
      <w:r>
        <w:rPr>
          <w:rFonts w:eastAsia="方正大标宋简体"/>
          <w:color w:val="FF0000"/>
          <w:spacing w:val="-11"/>
          <w:w w:val="75"/>
          <w:sz w:val="96"/>
          <w:szCs w:val="96"/>
          <w:u w:val="none"/>
        </w:rPr>
        <w:t>德安县人民政府</w:t>
      </w:r>
      <w:r>
        <w:rPr>
          <w:rFonts w:hint="eastAsia" w:eastAsia="方正大标宋简体"/>
          <w:color w:val="FF0000"/>
          <w:spacing w:val="-11"/>
          <w:w w:val="75"/>
          <w:sz w:val="96"/>
          <w:szCs w:val="96"/>
          <w:u w:val="none"/>
          <w:lang w:eastAsia="zh-CN"/>
        </w:rPr>
        <w:t>办公室</w:t>
      </w:r>
      <w:r>
        <w:rPr>
          <w:rFonts w:hint="eastAsia" w:eastAsia="方正大标宋简体"/>
          <w:color w:val="FF0000"/>
          <w:spacing w:val="-11"/>
          <w:w w:val="75"/>
          <w:sz w:val="96"/>
          <w:szCs w:val="96"/>
          <w:u w:val="none"/>
        </w:rPr>
        <w:t>文件</w:t>
      </w:r>
    </w:p>
    <w:p>
      <w:pPr>
        <w:jc w:val="center"/>
        <w:rPr>
          <w:rFonts w:hint="default" w:ascii="Times New Roman" w:hAnsi="Times New Roman" w:eastAsia="仿宋_GB2312" w:cs="Times New Roman"/>
          <w:sz w:val="32"/>
          <w:szCs w:val="32"/>
          <w:u w:val="none"/>
        </w:rPr>
      </w:pPr>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德府</w:t>
      </w:r>
      <w:r>
        <w:rPr>
          <w:rFonts w:hint="eastAsia" w:ascii="Times New Roman" w:hAnsi="Times New Roman" w:eastAsia="仿宋_GB2312" w:cs="Times New Roman"/>
          <w:sz w:val="32"/>
          <w:szCs w:val="32"/>
          <w:u w:val="none"/>
          <w:lang w:eastAsia="zh-CN"/>
        </w:rPr>
        <w:t>办字</w:t>
      </w:r>
      <w:r>
        <w:rPr>
          <w:rFonts w:hint="default" w:ascii="Times New Roman" w:hAnsi="Times New Roman" w:eastAsia="仿宋_GB2312" w:cs="Times New Roman"/>
          <w:sz w:val="32"/>
          <w:szCs w:val="32"/>
          <w:u w:val="none"/>
        </w:rPr>
        <w:t>〔202</w:t>
      </w: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74</w:t>
      </w:r>
      <w:r>
        <w:rPr>
          <w:rFonts w:hint="default" w:ascii="Times New Roman" w:hAnsi="Times New Roman" w:eastAsia="仿宋_GB2312" w:cs="Times New Roman"/>
          <w:sz w:val="32"/>
          <w:szCs w:val="32"/>
          <w:u w:val="none"/>
        </w:rPr>
        <w:t>号</w:t>
      </w:r>
    </w:p>
    <w:p>
      <w:pPr>
        <w:spacing w:line="600" w:lineRule="exact"/>
        <w:jc w:val="center"/>
        <w:rPr>
          <w:rFonts w:hint="eastAsia" w:ascii="宋体" w:hAnsi="宋体" w:eastAsia="宋体" w:cs="宋体"/>
          <w:b/>
          <w:bCs/>
          <w:sz w:val="44"/>
          <w:szCs w:val="44"/>
          <w:u w:val="none"/>
        </w:rPr>
      </w:pPr>
      <w:r>
        <w:rPr>
          <w:rFonts w:ascii="Calibri" w:hAnsi="Calibri" w:eastAsia="仿宋_GB2312"/>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0" t="12700" r="0" b="15875"/>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USxUvRAAAAAgEAAA8AAAAAAAAAAQAgAAAAIgAAAGRycy9kb3ducmV2LnhtbFBLAQIU&#10;ABQAAAAIAIdO4kDDq8Jx+gEAAPMDAAAOAAAAAAAAAAEAIAAAACABAABkcnMvZTJvRG9jLnhtbFBL&#10;BQYAAAAABgAGAFkBAACMBQAAAAA=&#10;">
                <v:fill on="f" focussize="0,0"/>
                <v:stroke weight="2pt" color="#FF0000"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244"/>
        <w:textAlignment w:val="baseline"/>
        <w:rPr>
          <w:rFonts w:hint="eastAsia" w:ascii="方正小标宋简体" w:hAnsi="方正小标宋简体" w:eastAsia="方正小标宋简体" w:cs="方正小标宋简体"/>
          <w:snapToGrid w:val="0"/>
          <w:color w:val="000000"/>
          <w:spacing w:val="0"/>
          <w:kern w:val="0"/>
          <w:position w:val="0"/>
          <w:sz w:val="44"/>
          <w:szCs w:val="44"/>
          <w:u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2244"/>
        <w:textAlignment w:val="baseline"/>
        <w:rPr>
          <w:rFonts w:hint="eastAsia" w:ascii="方正小标宋简体" w:hAnsi="方正小标宋简体" w:eastAsia="方正小标宋简体" w:cs="方正小标宋简体"/>
          <w:snapToGrid w:val="0"/>
          <w:color w:val="000000"/>
          <w:spacing w:val="0"/>
          <w:kern w:val="0"/>
          <w:position w:val="0"/>
          <w:sz w:val="44"/>
          <w:szCs w:val="44"/>
          <w:u w:val="none"/>
          <w:lang w:val="en-US" w:eastAsia="en-US" w:bidi="ar-SA"/>
        </w:rPr>
      </w:pPr>
      <w:r>
        <w:rPr>
          <w:rFonts w:hint="eastAsia" w:ascii="方正小标宋简体" w:hAnsi="方正小标宋简体" w:eastAsia="方正小标宋简体" w:cs="方正小标宋简体"/>
          <w:snapToGrid w:val="0"/>
          <w:color w:val="000000"/>
          <w:spacing w:val="0"/>
          <w:kern w:val="0"/>
          <w:position w:val="0"/>
          <w:sz w:val="44"/>
          <w:szCs w:val="44"/>
          <w:u w:val="none"/>
          <w:lang w:val="en-US" w:eastAsia="zh-CN" w:bidi="ar-SA"/>
        </w:rPr>
        <w:t>德安县</w:t>
      </w:r>
      <w:r>
        <w:rPr>
          <w:rFonts w:hint="eastAsia" w:ascii="方正小标宋简体" w:hAnsi="方正小标宋简体" w:eastAsia="方正小标宋简体" w:cs="方正小标宋简体"/>
          <w:snapToGrid w:val="0"/>
          <w:color w:val="000000"/>
          <w:spacing w:val="0"/>
          <w:kern w:val="0"/>
          <w:position w:val="0"/>
          <w:sz w:val="44"/>
          <w:szCs w:val="44"/>
          <w:u w:val="none"/>
          <w:lang w:val="en-US" w:eastAsia="en-US" w:bidi="ar-SA"/>
        </w:rPr>
        <w:t>人民政府办公室</w:t>
      </w: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napToGrid w:val="0"/>
          <w:color w:val="000000"/>
          <w:spacing w:val="0"/>
          <w:kern w:val="0"/>
          <w:position w:val="0"/>
          <w:sz w:val="44"/>
          <w:szCs w:val="44"/>
          <w:u w:val="none"/>
          <w:lang w:val="en-US" w:eastAsia="zh-CN" w:bidi="ar-SA"/>
        </w:rPr>
      </w:pPr>
      <w:bookmarkStart w:id="0" w:name="_GoBack"/>
      <w:r>
        <w:rPr>
          <w:rFonts w:hint="eastAsia" w:ascii="方正小标宋简体" w:hAnsi="方正小标宋简体" w:eastAsia="方正小标宋简体" w:cs="方正小标宋简体"/>
          <w:snapToGrid w:val="0"/>
          <w:color w:val="000000"/>
          <w:spacing w:val="0"/>
          <w:kern w:val="0"/>
          <w:position w:val="0"/>
          <w:sz w:val="44"/>
          <w:szCs w:val="44"/>
          <w:u w:val="none"/>
          <w:lang w:val="en-US" w:eastAsia="en-US" w:bidi="ar-SA"/>
        </w:rPr>
        <w:t>印发</w:t>
      </w:r>
      <w:r>
        <w:rPr>
          <w:rFonts w:hint="eastAsia" w:ascii="方正小标宋简体" w:hAnsi="方正小标宋简体" w:eastAsia="方正小标宋简体" w:cs="方正小标宋简体"/>
          <w:bCs/>
          <w:color w:val="000000" w:themeColor="text1"/>
          <w:spacing w:val="0"/>
          <w:sz w:val="44"/>
          <w:szCs w:val="44"/>
          <w:u w:val="none"/>
          <w14:textFill>
            <w14:solidFill>
              <w14:schemeClr w14:val="tx1"/>
            </w14:solidFill>
          </w14:textFill>
        </w:rPr>
        <w:t>德安县关于进一步促进房地产市场平稳健康发展的若干措施</w:t>
      </w:r>
      <w:r>
        <w:rPr>
          <w:rFonts w:hint="eastAsia" w:ascii="方正小标宋简体" w:hAnsi="方正小标宋简体" w:eastAsia="方正小标宋简体" w:cs="方正小标宋简体"/>
          <w:bCs/>
          <w:color w:val="000000" w:themeColor="text1"/>
          <w:spacing w:val="0"/>
          <w:sz w:val="44"/>
          <w:szCs w:val="44"/>
          <w:u w:val="none"/>
          <w:lang w:eastAsia="zh-CN"/>
          <w14:textFill>
            <w14:solidFill>
              <w14:schemeClr w14:val="tx1"/>
            </w14:solidFill>
          </w14:textFill>
        </w:rPr>
        <w:t>的</w:t>
      </w:r>
      <w:r>
        <w:rPr>
          <w:rFonts w:hint="eastAsia" w:ascii="方正小标宋简体" w:hAnsi="方正小标宋简体" w:eastAsia="方正小标宋简体" w:cs="方正小标宋简体"/>
          <w:snapToGrid w:val="0"/>
          <w:color w:val="000000"/>
          <w:spacing w:val="0"/>
          <w:kern w:val="0"/>
          <w:position w:val="0"/>
          <w:sz w:val="44"/>
          <w:szCs w:val="44"/>
          <w:u w:val="none"/>
          <w:lang w:val="en-US" w:eastAsia="en-US" w:bidi="ar-SA"/>
        </w:rPr>
        <w:t>通知</w:t>
      </w:r>
    </w:p>
    <w:bookmarkEnd w:id="0"/>
    <w:p>
      <w:pPr>
        <w:pStyle w:val="2"/>
        <w:spacing w:line="267" w:lineRule="auto"/>
        <w:rPr>
          <w:rFonts w:hint="eastAsia" w:ascii="方正小标宋简体" w:hAnsi="方正小标宋简体" w:eastAsia="方正小标宋简体" w:cs="方正小标宋简体"/>
          <w:u w:val="none"/>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 w:hAnsi="仿宋" w:eastAsia="仿宋" w:cs="仿宋"/>
          <w:spacing w:val="0"/>
          <w:position w:val="0"/>
          <w:sz w:val="32"/>
          <w:szCs w:val="32"/>
          <w:u w:val="none"/>
          <w:lang w:eastAsia="zh-CN"/>
        </w:rPr>
      </w:pPr>
      <w:r>
        <w:rPr>
          <w:rFonts w:hint="eastAsia" w:ascii="仿宋" w:hAnsi="仿宋" w:eastAsia="仿宋" w:cs="仿宋"/>
          <w:spacing w:val="0"/>
          <w:position w:val="0"/>
          <w:sz w:val="32"/>
          <w:szCs w:val="32"/>
          <w:u w:val="none"/>
        </w:rPr>
        <w:t>各乡</w:t>
      </w:r>
      <w:r>
        <w:rPr>
          <w:rFonts w:hint="eastAsia" w:ascii="仿宋" w:hAnsi="仿宋" w:eastAsia="仿宋" w:cs="仿宋"/>
          <w:spacing w:val="0"/>
          <w:position w:val="0"/>
          <w:sz w:val="32"/>
          <w:szCs w:val="32"/>
          <w:u w:val="none"/>
          <w:lang w:eastAsia="zh-CN"/>
        </w:rPr>
        <w:t>（</w:t>
      </w:r>
      <w:r>
        <w:rPr>
          <w:rFonts w:hint="eastAsia" w:ascii="仿宋" w:hAnsi="仿宋" w:eastAsia="仿宋" w:cs="仿宋"/>
          <w:spacing w:val="0"/>
          <w:position w:val="0"/>
          <w:sz w:val="32"/>
          <w:szCs w:val="32"/>
          <w:u w:val="none"/>
        </w:rPr>
        <w:t>镇</w:t>
      </w:r>
      <w:r>
        <w:rPr>
          <w:rFonts w:hint="eastAsia" w:ascii="仿宋" w:hAnsi="仿宋" w:eastAsia="仿宋" w:cs="仿宋"/>
          <w:spacing w:val="0"/>
          <w:position w:val="0"/>
          <w:sz w:val="32"/>
          <w:szCs w:val="32"/>
          <w:u w:val="none"/>
          <w:lang w:eastAsia="zh-CN"/>
        </w:rPr>
        <w:t>）</w:t>
      </w:r>
      <w:r>
        <w:rPr>
          <w:rFonts w:hint="eastAsia" w:ascii="仿宋" w:hAnsi="仿宋" w:eastAsia="仿宋" w:cs="仿宋"/>
          <w:spacing w:val="0"/>
          <w:position w:val="0"/>
          <w:sz w:val="32"/>
          <w:szCs w:val="32"/>
          <w:u w:val="none"/>
        </w:rPr>
        <w:t>人民</w:t>
      </w:r>
      <w:r>
        <w:rPr>
          <w:rFonts w:ascii="仿宋" w:hAnsi="仿宋" w:eastAsia="仿宋" w:cs="仿宋"/>
          <w:spacing w:val="0"/>
          <w:position w:val="0"/>
          <w:sz w:val="32"/>
          <w:szCs w:val="32"/>
          <w:u w:val="none"/>
        </w:rPr>
        <w:t>政府，</w:t>
      </w:r>
      <w:r>
        <w:rPr>
          <w:rFonts w:hint="eastAsia" w:ascii="仿宋" w:hAnsi="仿宋" w:eastAsia="仿宋" w:cs="仿宋"/>
          <w:spacing w:val="0"/>
          <w:position w:val="0"/>
          <w:sz w:val="32"/>
          <w:szCs w:val="32"/>
          <w:u w:val="none"/>
          <w:lang w:eastAsia="zh-CN"/>
        </w:rPr>
        <w:t>县政府各部门</w:t>
      </w:r>
      <w:r>
        <w:rPr>
          <w:rFonts w:ascii="仿宋" w:hAnsi="仿宋" w:eastAsia="仿宋" w:cs="仿宋"/>
          <w:spacing w:val="0"/>
          <w:position w:val="0"/>
          <w:sz w:val="32"/>
          <w:szCs w:val="32"/>
          <w:u w:val="none"/>
        </w:rPr>
        <w:t>，</w:t>
      </w:r>
      <w:r>
        <w:rPr>
          <w:rFonts w:hint="eastAsia" w:ascii="仿宋" w:hAnsi="仿宋" w:eastAsia="仿宋" w:cs="仿宋"/>
          <w:spacing w:val="0"/>
          <w:position w:val="0"/>
          <w:sz w:val="32"/>
          <w:szCs w:val="32"/>
          <w:u w:val="none"/>
          <w:lang w:eastAsia="zh-CN"/>
        </w:rPr>
        <w:t>县直及驻县各单位：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color w:val="000000" w:themeColor="text1"/>
          <w:spacing w:val="0"/>
          <w:w w:val="100"/>
          <w:position w:val="0"/>
          <w:sz w:val="32"/>
          <w:szCs w:val="32"/>
          <w:u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32"/>
          <w:szCs w:val="32"/>
          <w:u w:val="none"/>
          <w:lang w:eastAsia="zh-CN"/>
          <w14:textFill>
            <w14:solidFill>
              <w14:schemeClr w14:val="tx1"/>
            </w14:solidFill>
          </w14:textFill>
        </w:rPr>
        <w:t>《德安县关于进一步促进房地产市场平稳健康发展的若干措施》已经县政府研究同意，现印发给你们，请抓好落实。</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ascii="仿宋" w:hAnsi="仿宋" w:eastAsia="仿宋" w:cs="仿宋"/>
          <w:color w:val="000000" w:themeColor="text1"/>
          <w:spacing w:val="0"/>
          <w:w w:val="100"/>
          <w:position w:val="0"/>
          <w:sz w:val="32"/>
          <w:szCs w:val="32"/>
          <w:u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ascii="仿宋" w:hAnsi="仿宋" w:eastAsia="仿宋" w:cs="仿宋"/>
          <w:color w:val="000000" w:themeColor="text1"/>
          <w:spacing w:val="0"/>
          <w:w w:val="100"/>
          <w:position w:val="0"/>
          <w:sz w:val="32"/>
          <w:szCs w:val="32"/>
          <w:u w:val="none"/>
          <w14:textFill>
            <w14:solidFill>
              <w14:schemeClr w14:val="tx1"/>
            </w14:solidFill>
          </w14:textFill>
        </w:rPr>
      </w:pPr>
    </w:p>
    <w:p>
      <w:pPr>
        <w:keepNext w:val="0"/>
        <w:keepLines w:val="0"/>
        <w:pageBreakBefore w:val="0"/>
        <w:widowControl/>
        <w:kinsoku w:val="0"/>
        <w:wordWrap w:val="0"/>
        <w:overflowPunct/>
        <w:topLinePunct w:val="0"/>
        <w:autoSpaceDE w:val="0"/>
        <w:autoSpaceDN w:val="0"/>
        <w:bidi w:val="0"/>
        <w:adjustRightInd w:val="0"/>
        <w:snapToGrid w:val="0"/>
        <w:spacing w:line="600" w:lineRule="exact"/>
        <w:ind w:left="0" w:leftChars="0" w:right="0" w:firstLine="640" w:firstLineChars="200"/>
        <w:jc w:val="right"/>
        <w:textAlignment w:val="baseline"/>
        <w:rPr>
          <w:rFonts w:hint="default" w:ascii="仿宋" w:hAnsi="仿宋" w:eastAsia="仿宋" w:cs="仿宋"/>
          <w:color w:val="000000" w:themeColor="text1"/>
          <w:spacing w:val="0"/>
          <w:w w:val="100"/>
          <w:position w:val="0"/>
          <w:sz w:val="32"/>
          <w:szCs w:val="32"/>
          <w:u w:val="none"/>
          <w:lang w:val="en-US" w:eastAsia="zh-CN"/>
          <w14:textFill>
            <w14:solidFill>
              <w14:schemeClr w14:val="tx1"/>
            </w14:solidFill>
          </w14:textFill>
        </w:rPr>
      </w:pPr>
      <w:r>
        <w:rPr>
          <w:rFonts w:ascii="仿宋" w:hAnsi="仿宋" w:eastAsia="仿宋" w:cs="仿宋"/>
          <w:color w:val="000000" w:themeColor="text1"/>
          <w:spacing w:val="0"/>
          <w:w w:val="100"/>
          <w:position w:val="0"/>
          <w:sz w:val="32"/>
          <w:szCs w:val="32"/>
          <w:u w:val="none"/>
          <w14:textFill>
            <w14:solidFill>
              <w14:schemeClr w14:val="tx1"/>
            </w14:solidFill>
          </w14:textFill>
        </w:rPr>
        <w:t>202</w:t>
      </w:r>
      <w:r>
        <w:rPr>
          <w:rFonts w:hint="eastAsia" w:ascii="仿宋" w:hAnsi="仿宋" w:eastAsia="仿宋" w:cs="仿宋"/>
          <w:color w:val="000000" w:themeColor="text1"/>
          <w:spacing w:val="0"/>
          <w:w w:val="100"/>
          <w:position w:val="0"/>
          <w:sz w:val="32"/>
          <w:szCs w:val="32"/>
          <w:u w:val="none"/>
          <w:lang w:val="en-US" w:eastAsia="zh-CN"/>
          <w14:textFill>
            <w14:solidFill>
              <w14:schemeClr w14:val="tx1"/>
            </w14:solidFill>
          </w14:textFill>
        </w:rPr>
        <w:t>3</w:t>
      </w:r>
      <w:r>
        <w:rPr>
          <w:rFonts w:ascii="仿宋" w:hAnsi="仿宋" w:eastAsia="仿宋" w:cs="仿宋"/>
          <w:color w:val="000000" w:themeColor="text1"/>
          <w:spacing w:val="0"/>
          <w:w w:val="100"/>
          <w:position w:val="0"/>
          <w:sz w:val="32"/>
          <w:szCs w:val="32"/>
          <w:u w:val="none"/>
          <w14:textFill>
            <w14:solidFill>
              <w14:schemeClr w14:val="tx1"/>
            </w14:solidFill>
          </w14:textFill>
        </w:rPr>
        <w:t>年</w:t>
      </w:r>
      <w:r>
        <w:rPr>
          <w:rFonts w:hint="eastAsia" w:ascii="仿宋" w:hAnsi="仿宋" w:eastAsia="仿宋" w:cs="仿宋"/>
          <w:color w:val="000000" w:themeColor="text1"/>
          <w:spacing w:val="0"/>
          <w:w w:val="100"/>
          <w:position w:val="0"/>
          <w:sz w:val="32"/>
          <w:szCs w:val="32"/>
          <w:u w:val="none"/>
          <w:lang w:val="en-US" w:eastAsia="zh-CN"/>
          <w14:textFill>
            <w14:solidFill>
              <w14:schemeClr w14:val="tx1"/>
            </w14:solidFill>
          </w14:textFill>
        </w:rPr>
        <w:t>12</w:t>
      </w:r>
      <w:r>
        <w:rPr>
          <w:rFonts w:ascii="仿宋" w:hAnsi="仿宋" w:eastAsia="仿宋" w:cs="仿宋"/>
          <w:color w:val="000000" w:themeColor="text1"/>
          <w:spacing w:val="0"/>
          <w:w w:val="100"/>
          <w:position w:val="0"/>
          <w:sz w:val="32"/>
          <w:szCs w:val="32"/>
          <w:u w:val="none"/>
          <w14:textFill>
            <w14:solidFill>
              <w14:schemeClr w14:val="tx1"/>
            </w14:solidFill>
          </w14:textFill>
        </w:rPr>
        <w:t>月</w:t>
      </w:r>
      <w:r>
        <w:rPr>
          <w:rFonts w:hint="eastAsia" w:ascii="仿宋" w:hAnsi="仿宋" w:eastAsia="仿宋" w:cs="仿宋"/>
          <w:color w:val="000000" w:themeColor="text1"/>
          <w:spacing w:val="0"/>
          <w:w w:val="100"/>
          <w:position w:val="0"/>
          <w:sz w:val="32"/>
          <w:szCs w:val="32"/>
          <w:u w:val="none"/>
          <w:lang w:val="en-US" w:eastAsia="zh-CN"/>
          <w14:textFill>
            <w14:solidFill>
              <w14:schemeClr w14:val="tx1"/>
            </w14:solidFill>
          </w14:textFill>
        </w:rPr>
        <w:t>5</w:t>
      </w:r>
      <w:r>
        <w:rPr>
          <w:rFonts w:ascii="仿宋" w:hAnsi="仿宋" w:eastAsia="仿宋" w:cs="仿宋"/>
          <w:color w:val="000000" w:themeColor="text1"/>
          <w:spacing w:val="0"/>
          <w:w w:val="100"/>
          <w:position w:val="0"/>
          <w:sz w:val="32"/>
          <w:szCs w:val="32"/>
          <w:u w:val="none"/>
          <w14:textFill>
            <w14:solidFill>
              <w14:schemeClr w14:val="tx1"/>
            </w14:solidFill>
          </w14:textFill>
        </w:rPr>
        <w:t>日</w:t>
      </w:r>
      <w:r>
        <w:rPr>
          <w:rFonts w:hint="eastAsia" w:ascii="仿宋" w:hAnsi="仿宋" w:eastAsia="仿宋" w:cs="仿宋"/>
          <w:color w:val="000000" w:themeColor="text1"/>
          <w:spacing w:val="0"/>
          <w:w w:val="100"/>
          <w:position w:val="0"/>
          <w:sz w:val="32"/>
          <w:szCs w:val="32"/>
          <w:u w:val="none"/>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color w:val="000000" w:themeColor="text1"/>
          <w:spacing w:val="0"/>
          <w:w w:val="100"/>
          <w:position w:val="0"/>
          <w:sz w:val="32"/>
          <w:szCs w:val="32"/>
          <w:u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32"/>
          <w:szCs w:val="32"/>
          <w:u w:val="none"/>
          <w:lang w:eastAsia="zh-CN"/>
          <w14:textFill>
            <w14:solidFill>
              <w14:schemeClr w14:val="tx1"/>
            </w14:solidFill>
          </w14:textFill>
        </w:rPr>
        <w:t>（此件主动公开）</w:t>
      </w: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C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u w:val="none"/>
          <w14:textFill>
            <w14:solidFill>
              <w14:schemeClr w14:val="tx1"/>
            </w14:solidFill>
          </w14:textFill>
        </w:rPr>
        <w:t>德安县关于进一步促进房地产市场平稳</w:t>
      </w: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C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u w:val="none"/>
          <w14:textFill>
            <w14:solidFill>
              <w14:schemeClr w14:val="tx1"/>
            </w14:solidFill>
          </w14:textFill>
        </w:rPr>
        <w:t>健康发展的若干措施</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000000" w:themeColor="text1"/>
          <w:sz w:val="32"/>
          <w:szCs w:val="32"/>
          <w:u w:val="none"/>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为贯彻落实党中央、国务院和省委、省政府、</w:t>
      </w:r>
      <w:r>
        <w:rPr>
          <w:rFonts w:hint="eastAsia" w:ascii="仿宋" w:hAnsi="仿宋" w:eastAsia="仿宋" w:cs="仿宋"/>
          <w:color w:val="000000" w:themeColor="text1"/>
          <w:sz w:val="32"/>
          <w:szCs w:val="32"/>
          <w:u w:val="none"/>
          <w:lang w:val="en-US" w:eastAsia="zh-CN"/>
          <w14:textFill>
            <w14:solidFill>
              <w14:schemeClr w14:val="tx1"/>
            </w14:solidFill>
          </w14:textFill>
        </w:rPr>
        <w:t>市委、</w:t>
      </w:r>
      <w:r>
        <w:rPr>
          <w:rFonts w:hint="eastAsia" w:ascii="仿宋" w:hAnsi="仿宋" w:eastAsia="仿宋" w:cs="仿宋"/>
          <w:color w:val="000000" w:themeColor="text1"/>
          <w:sz w:val="32"/>
          <w:szCs w:val="32"/>
          <w:u w:val="none"/>
          <w14:textFill>
            <w14:solidFill>
              <w14:schemeClr w14:val="tx1"/>
            </w14:solidFill>
          </w14:textFill>
        </w:rPr>
        <w:t>市政府决策部署，进一步提振我县房地产市场信心，激发市场活力，促进我县房地产市场平稳健康</w:t>
      </w:r>
      <w:r>
        <w:rPr>
          <w:rFonts w:hint="eastAsia" w:ascii="仿宋" w:hAnsi="仿宋" w:eastAsia="仿宋" w:cs="仿宋"/>
          <w:color w:val="000000" w:themeColor="text1"/>
          <w:sz w:val="32"/>
          <w:szCs w:val="32"/>
          <w:u w:val="none"/>
          <w:lang w:val="en-US" w:eastAsia="zh-CN"/>
          <w14:textFill>
            <w14:solidFill>
              <w14:schemeClr w14:val="tx1"/>
            </w14:solidFill>
          </w14:textFill>
        </w:rPr>
        <w:t>发展</w:t>
      </w:r>
      <w:r>
        <w:rPr>
          <w:rFonts w:hint="eastAsia" w:ascii="仿宋" w:hAnsi="仿宋" w:eastAsia="仿宋" w:cs="仿宋"/>
          <w:color w:val="000000" w:themeColor="text1"/>
          <w:sz w:val="32"/>
          <w:szCs w:val="32"/>
          <w:u w:val="none"/>
          <w14:textFill>
            <w14:solidFill>
              <w14:schemeClr w14:val="tx1"/>
            </w14:solidFill>
          </w14:textFill>
        </w:rPr>
        <w:t>和良性循环，根据《九江市</w:t>
      </w:r>
      <w:r>
        <w:rPr>
          <w:rFonts w:hint="eastAsia" w:ascii="仿宋" w:hAnsi="仿宋" w:eastAsia="仿宋" w:cs="仿宋"/>
          <w:color w:val="000000" w:themeColor="text1"/>
          <w:sz w:val="32"/>
          <w:szCs w:val="32"/>
          <w:u w:val="none"/>
          <w:lang w:val="en-US" w:eastAsia="zh-CN"/>
          <w14:textFill>
            <w14:solidFill>
              <w14:schemeClr w14:val="tx1"/>
            </w14:solidFill>
          </w14:textFill>
        </w:rPr>
        <w:t>人民政府办公室印发</w:t>
      </w:r>
      <w:r>
        <w:rPr>
          <w:rFonts w:hint="eastAsia" w:ascii="仿宋" w:hAnsi="仿宋" w:eastAsia="仿宋" w:cs="仿宋"/>
          <w:color w:val="000000" w:themeColor="text1"/>
          <w:sz w:val="32"/>
          <w:szCs w:val="32"/>
          <w:u w:val="none"/>
          <w14:textFill>
            <w14:solidFill>
              <w14:schemeClr w14:val="tx1"/>
            </w14:solidFill>
          </w14:textFill>
        </w:rPr>
        <w:t>关于进一步促进房地产市场平稳健康发展的若干措施</w:t>
      </w:r>
      <w:r>
        <w:rPr>
          <w:rFonts w:hint="eastAsia" w:ascii="仿宋" w:hAnsi="仿宋" w:eastAsia="仿宋" w:cs="仿宋"/>
          <w:color w:val="000000" w:themeColor="text1"/>
          <w:sz w:val="32"/>
          <w:szCs w:val="32"/>
          <w:u w:val="none"/>
          <w:lang w:val="en-US" w:eastAsia="zh-CN"/>
          <w14:textFill>
            <w14:solidFill>
              <w14:schemeClr w14:val="tx1"/>
            </w14:solidFill>
          </w14:textFill>
        </w:rPr>
        <w:t>的通知</w:t>
      </w:r>
      <w:r>
        <w:rPr>
          <w:rFonts w:hint="eastAsia" w:ascii="仿宋" w:hAnsi="仿宋" w:eastAsia="仿宋" w:cs="仿宋"/>
          <w:color w:val="000000" w:themeColor="text1"/>
          <w:sz w:val="32"/>
          <w:szCs w:val="32"/>
          <w:u w:val="none"/>
          <w14:textFill>
            <w14:solidFill>
              <w14:schemeClr w14:val="tx1"/>
            </w14:solidFill>
          </w14:textFill>
        </w:rPr>
        <w:t>》（九府办发〔2023〕21号）精神，结合我县实际</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制定如下措施。</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一、进一步支持市场有效需求</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（一）加强政策宣传。</w:t>
      </w:r>
      <w:r>
        <w:rPr>
          <w:rFonts w:hint="eastAsia" w:ascii="仿宋" w:hAnsi="仿宋" w:eastAsia="仿宋" w:cs="仿宋"/>
          <w:color w:val="000000" w:themeColor="text1"/>
          <w:sz w:val="32"/>
          <w:szCs w:val="32"/>
          <w:u w:val="none"/>
          <w14:textFill>
            <w14:solidFill>
              <w14:schemeClr w14:val="tx1"/>
            </w14:solidFill>
          </w14:textFill>
        </w:rPr>
        <w:t>广泛利用网络平台、自媒体及现场活动等渠道加大舆论宣传力度，支持鼓励人民群众购买商品房改善生活品质。</w:t>
      </w:r>
      <w:r>
        <w:rPr>
          <w:rFonts w:hint="eastAsia" w:ascii="仿宋" w:hAnsi="仿宋" w:eastAsia="仿宋" w:cs="仿宋"/>
          <w:b/>
          <w:bCs w:val="0"/>
          <w:color w:val="000000" w:themeColor="text1"/>
          <w:sz w:val="32"/>
          <w:szCs w:val="32"/>
          <w:u w:val="none"/>
          <w14:textFill>
            <w14:solidFill>
              <w14:schemeClr w14:val="tx1"/>
            </w14:solidFill>
          </w14:textFill>
        </w:rPr>
        <w:t>（责任单位：县委宣传部、县住建局）</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（二）实行阶段性购房契税补贴。</w:t>
      </w:r>
      <w:r>
        <w:rPr>
          <w:rFonts w:hint="eastAsia" w:ascii="仿宋" w:hAnsi="仿宋" w:eastAsia="仿宋" w:cs="仿宋"/>
          <w:bCs/>
          <w:color w:val="000000" w:themeColor="text1"/>
          <w:sz w:val="32"/>
          <w:szCs w:val="32"/>
          <w:u w:val="none"/>
          <w14:textFill>
            <w14:solidFill>
              <w14:schemeClr w14:val="tx1"/>
            </w14:solidFill>
          </w14:textFill>
        </w:rPr>
        <w:t>自2023年10月1日至2024年12月31日，在德安县中心城区购买（以合同网签时间为准）的新建商品房</w:t>
      </w:r>
      <w:r>
        <w:rPr>
          <w:rFonts w:hint="eastAsia" w:ascii="仿宋" w:hAnsi="仿宋" w:eastAsia="仿宋" w:cs="仿宋"/>
          <w:bCs/>
          <w:color w:val="000000" w:themeColor="text1"/>
          <w:sz w:val="32"/>
          <w:szCs w:val="32"/>
          <w:u w:val="none"/>
          <w14:textFill>
            <w14:solidFill>
              <w14:schemeClr w14:val="tx1"/>
            </w14:solidFill>
          </w14:textFill>
        </w:rPr>
        <w:t>（含住房、非住房）</w:t>
      </w:r>
      <w:r>
        <w:rPr>
          <w:rFonts w:hint="eastAsia" w:ascii="仿宋" w:hAnsi="仿宋" w:eastAsia="仿宋" w:cs="仿宋"/>
          <w:bCs/>
          <w:color w:val="000000" w:themeColor="text1"/>
          <w:sz w:val="32"/>
          <w:szCs w:val="32"/>
          <w:u w:val="none"/>
          <w14:textFill>
            <w14:solidFill>
              <w14:schemeClr w14:val="tx1"/>
            </w14:solidFill>
          </w14:textFill>
        </w:rPr>
        <w:t>且在2026年12月31日前缴清契税的，对购买业主给予50%税收补贴，契税实行先征后补。该项补贴申请流程原则上按《德安县中心城区申请购房补贴实施细则》（德住建字</w:t>
      </w:r>
      <w:r>
        <w:rPr>
          <w:rFonts w:hint="eastAsia" w:ascii="仿宋" w:hAnsi="仿宋" w:eastAsia="仿宋" w:cs="仿宋"/>
          <w:color w:val="000000" w:themeColor="text1"/>
          <w:spacing w:val="30"/>
          <w:kern w:val="0"/>
          <w:sz w:val="32"/>
          <w:szCs w:val="32"/>
          <w:u w:val="none"/>
          <w:lang w:bidi="ar"/>
          <w14:textFill>
            <w14:solidFill>
              <w14:schemeClr w14:val="tx1"/>
            </w14:solidFill>
          </w14:textFill>
        </w:rPr>
        <w:t>〔2022〕</w:t>
      </w:r>
      <w:r>
        <w:rPr>
          <w:rFonts w:hint="eastAsia" w:ascii="仿宋" w:hAnsi="仿宋" w:eastAsia="仿宋" w:cs="仿宋"/>
          <w:bCs/>
          <w:color w:val="000000" w:themeColor="text1"/>
          <w:sz w:val="32"/>
          <w:szCs w:val="32"/>
          <w:u w:val="none"/>
          <w14:textFill>
            <w14:solidFill>
              <w14:schemeClr w14:val="tx1"/>
            </w14:solidFill>
          </w14:textFill>
        </w:rPr>
        <w:t>29号）执行，申请受理截止时间为2026年12月31日。</w:t>
      </w:r>
      <w:r>
        <w:rPr>
          <w:rFonts w:hint="eastAsia" w:ascii="仿宋" w:hAnsi="仿宋" w:eastAsia="仿宋" w:cs="仿宋"/>
          <w:b/>
          <w:bCs w:val="0"/>
          <w:color w:val="000000" w:themeColor="text1"/>
          <w:sz w:val="32"/>
          <w:szCs w:val="32"/>
          <w:u w:val="none"/>
          <w14:textFill>
            <w14:solidFill>
              <w14:schemeClr w14:val="tx1"/>
            </w14:solidFill>
          </w14:textFill>
        </w:rPr>
        <w:t>（责任单位：县财政局、县税务</w:t>
      </w:r>
      <w:r>
        <w:rPr>
          <w:rFonts w:hint="eastAsia" w:ascii="仿宋" w:hAnsi="仿宋" w:eastAsia="仿宋" w:cs="仿宋"/>
          <w:b/>
          <w:bCs w:val="0"/>
          <w:color w:val="000000" w:themeColor="text1"/>
          <w:sz w:val="32"/>
          <w:szCs w:val="32"/>
          <w:u w:val="none"/>
          <w:lang w:val="en-US" w:eastAsia="zh-CN"/>
          <w14:textFill>
            <w14:solidFill>
              <w14:schemeClr w14:val="tx1"/>
            </w14:solidFill>
          </w14:textFill>
        </w:rPr>
        <w:t>局</w:t>
      </w:r>
      <w:r>
        <w:rPr>
          <w:rFonts w:hint="eastAsia" w:ascii="仿宋" w:hAnsi="仿宋" w:eastAsia="仿宋" w:cs="仿宋"/>
          <w:b/>
          <w:bCs w:val="0"/>
          <w:color w:val="000000" w:themeColor="text1"/>
          <w:sz w:val="32"/>
          <w:szCs w:val="32"/>
          <w:u w:val="none"/>
          <w:lang w:eastAsia="zh-CN"/>
          <w14:textFill>
            <w14:solidFill>
              <w14:schemeClr w14:val="tx1"/>
            </w14:solidFill>
          </w14:textFill>
        </w:rPr>
        <w:t>、</w:t>
      </w:r>
      <w:r>
        <w:rPr>
          <w:rFonts w:hint="eastAsia" w:ascii="仿宋" w:hAnsi="仿宋" w:eastAsia="仿宋" w:cs="仿宋"/>
          <w:b/>
          <w:bCs w:val="0"/>
          <w:color w:val="000000" w:themeColor="text1"/>
          <w:sz w:val="32"/>
          <w:szCs w:val="32"/>
          <w:u w:val="none"/>
          <w14:textFill>
            <w14:solidFill>
              <w14:schemeClr w14:val="tx1"/>
            </w14:solidFill>
          </w14:textFill>
        </w:rPr>
        <w:t>县住建局）</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bCs/>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（三）支持居民个人换购住房。</w:t>
      </w:r>
      <w:r>
        <w:rPr>
          <w:rFonts w:hint="eastAsia" w:ascii="仿宋" w:hAnsi="仿宋" w:eastAsia="仿宋" w:cs="仿宋"/>
          <w:bCs/>
          <w:color w:val="000000" w:themeColor="text1"/>
          <w:sz w:val="32"/>
          <w:szCs w:val="32"/>
          <w:u w:val="none"/>
          <w14:textFill>
            <w14:solidFill>
              <w14:schemeClr w14:val="tx1"/>
            </w14:solidFill>
          </w14:textFill>
        </w:rPr>
        <w:t>自2022年10月1日至2025年12月31日，对出售本地自有住房，并在现住房出售后1年内，在本县范围内重新购买新建商品住房的纳税人，按规定对其出售住房已缴纳的个人所得税予以退税优惠。</w:t>
      </w:r>
      <w:r>
        <w:rPr>
          <w:rFonts w:hint="eastAsia" w:ascii="仿宋" w:hAnsi="仿宋" w:eastAsia="仿宋" w:cs="仿宋"/>
          <w:b/>
          <w:bCs w:val="0"/>
          <w:color w:val="000000" w:themeColor="text1"/>
          <w:sz w:val="32"/>
          <w:szCs w:val="32"/>
          <w:u w:val="none"/>
          <w14:textFill>
            <w14:solidFill>
              <w14:schemeClr w14:val="tx1"/>
            </w14:solidFill>
          </w14:textFill>
        </w:rPr>
        <w:t>（责任单位：县税务局、县自然资源局、县住建局）</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val="0"/>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（四）支持征收安置对象购买新房。</w:t>
      </w:r>
      <w:r>
        <w:rPr>
          <w:rFonts w:hint="eastAsia" w:ascii="仿宋" w:hAnsi="仿宋" w:eastAsia="仿宋" w:cs="仿宋"/>
          <w:color w:val="000000" w:themeColor="text1"/>
          <w:sz w:val="32"/>
          <w:szCs w:val="32"/>
          <w:u w:val="none"/>
          <w14:textFill>
            <w14:solidFill>
              <w14:schemeClr w14:val="tx1"/>
            </w14:solidFill>
          </w14:textFill>
        </w:rPr>
        <w:t>适当提高</w:t>
      </w:r>
      <w:r>
        <w:rPr>
          <w:rFonts w:hint="eastAsia" w:ascii="仿宋" w:hAnsi="仿宋" w:eastAsia="仿宋" w:cs="仿宋"/>
          <w:color w:val="000000" w:themeColor="text1"/>
          <w:sz w:val="32"/>
          <w:szCs w:val="32"/>
          <w:u w:val="none"/>
          <w:lang w:val="en-US" w:eastAsia="zh-CN"/>
          <w14:textFill>
            <w14:solidFill>
              <w14:schemeClr w14:val="tx1"/>
            </w14:solidFill>
          </w14:textFill>
        </w:rPr>
        <w:t>房屋</w:t>
      </w:r>
      <w:r>
        <w:rPr>
          <w:rFonts w:hint="eastAsia" w:ascii="仿宋" w:hAnsi="仿宋" w:eastAsia="仿宋" w:cs="仿宋"/>
          <w:color w:val="000000" w:themeColor="text1"/>
          <w:sz w:val="32"/>
          <w:szCs w:val="32"/>
          <w:u w:val="none"/>
          <w14:textFill>
            <w14:solidFill>
              <w14:schemeClr w14:val="tx1"/>
            </w14:solidFill>
          </w14:textFill>
        </w:rPr>
        <w:t>征收货币补偿标准，稳步提高棚户区改造项目货币化安置比例。鼓励被征收人选择“房票”方式进行补偿安置，对选择“房票”购买本地新建商品住房或新建商业服务型公寓的（以规划认定用途为准），由县财政给予奖励,具体“房票”奖励办法以实施细则为准。</w:t>
      </w:r>
      <w:r>
        <w:rPr>
          <w:rFonts w:hint="eastAsia" w:ascii="仿宋" w:hAnsi="仿宋" w:eastAsia="仿宋" w:cs="仿宋"/>
          <w:b/>
          <w:bCs w:val="0"/>
          <w:color w:val="000000" w:themeColor="text1"/>
          <w:sz w:val="32"/>
          <w:szCs w:val="32"/>
          <w:u w:val="none"/>
          <w14:textFill>
            <w14:solidFill>
              <w14:schemeClr w14:val="tx1"/>
            </w14:solidFill>
          </w14:textFill>
        </w:rPr>
        <w:t>（责任单位：县住建局、县财政局、县</w:t>
      </w:r>
      <w:r>
        <w:rPr>
          <w:rFonts w:hint="eastAsia" w:ascii="仿宋" w:hAnsi="仿宋" w:eastAsia="仿宋" w:cs="仿宋"/>
          <w:b/>
          <w:bCs w:val="0"/>
          <w:color w:val="000000" w:themeColor="text1"/>
          <w:sz w:val="32"/>
          <w:szCs w:val="32"/>
          <w:u w:val="none"/>
          <w:lang w:val="en-US" w:eastAsia="zh-CN"/>
          <w14:textFill>
            <w14:solidFill>
              <w14:schemeClr w14:val="tx1"/>
            </w14:solidFill>
          </w14:textFill>
        </w:rPr>
        <w:t>金</w:t>
      </w:r>
      <w:r>
        <w:rPr>
          <w:rFonts w:hint="eastAsia" w:ascii="仿宋" w:hAnsi="仿宋" w:eastAsia="仿宋" w:cs="仿宋"/>
          <w:b/>
          <w:bCs w:val="0"/>
          <w:color w:val="000000" w:themeColor="text1"/>
          <w:sz w:val="32"/>
          <w:szCs w:val="32"/>
          <w:u w:val="none"/>
          <w14:textFill>
            <w14:solidFill>
              <w14:schemeClr w14:val="tx1"/>
            </w14:solidFill>
          </w14:textFill>
        </w:rPr>
        <w:t>融</w:t>
      </w:r>
      <w:r>
        <w:rPr>
          <w:rFonts w:hint="eastAsia" w:ascii="仿宋" w:hAnsi="仿宋" w:eastAsia="仿宋" w:cs="仿宋"/>
          <w:b/>
          <w:bCs w:val="0"/>
          <w:color w:val="000000" w:themeColor="text1"/>
          <w:sz w:val="32"/>
          <w:szCs w:val="32"/>
          <w:u w:val="none"/>
          <w:lang w:val="en-US" w:eastAsia="zh-CN"/>
          <w14:textFill>
            <w14:solidFill>
              <w14:schemeClr w14:val="tx1"/>
            </w14:solidFill>
          </w14:textFill>
        </w:rPr>
        <w:t>服务中心</w:t>
      </w:r>
      <w:r>
        <w:rPr>
          <w:rFonts w:hint="eastAsia" w:ascii="仿宋" w:hAnsi="仿宋" w:eastAsia="仿宋" w:cs="仿宋"/>
          <w:b/>
          <w:bCs w:val="0"/>
          <w:color w:val="000000" w:themeColor="text1"/>
          <w:sz w:val="32"/>
          <w:szCs w:val="32"/>
          <w:u w:val="none"/>
          <w14:textFill>
            <w14:solidFill>
              <w14:schemeClr w14:val="tx1"/>
            </w14:solidFill>
          </w14:textFill>
        </w:rPr>
        <w:t>）</w:t>
      </w:r>
    </w:p>
    <w:p>
      <w:pPr>
        <w:pStyle w:val="2"/>
        <w:ind w:firstLine="643" w:firstLineChars="200"/>
        <w:rPr>
          <w:rFonts w:hint="eastAsia" w:ascii="仿宋" w:hAnsi="仿宋" w:eastAsia="仿宋" w:cs="仿宋"/>
          <w:b/>
          <w:bCs w:val="0"/>
          <w:color w:val="000000" w:themeColor="text1"/>
          <w:kern w:val="2"/>
          <w:sz w:val="32"/>
          <w:szCs w:val="32"/>
          <w:u w:val="none"/>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u w:val="none"/>
          <w:lang w:val="en-US" w:eastAsia="zh-CN" w:bidi="ar-SA"/>
          <w14:textFill>
            <w14:solidFill>
              <w14:schemeClr w14:val="tx1"/>
            </w14:solidFill>
          </w14:textFill>
        </w:rPr>
        <w:t>（五）实施人才安家购房补贴政策。</w:t>
      </w:r>
      <w:r>
        <w:rPr>
          <w:rFonts w:hint="eastAsia" w:ascii="仿宋" w:hAnsi="仿宋" w:eastAsia="仿宋" w:cs="仿宋"/>
          <w:sz w:val="32"/>
          <w:szCs w:val="32"/>
          <w:u w:val="none"/>
        </w:rPr>
        <w:t>根据</w:t>
      </w:r>
      <w:r>
        <w:rPr>
          <w:rFonts w:hint="eastAsia" w:ascii="仿宋_GB2312" w:hAnsi="仿宋_GB2312" w:eastAsia="仿宋_GB2312" w:cs="仿宋_GB2312"/>
          <w:sz w:val="32"/>
          <w:szCs w:val="32"/>
          <w:u w:val="none"/>
        </w:rPr>
        <w:t>市委、市政府印发的</w:t>
      </w:r>
      <w:r>
        <w:rPr>
          <w:rFonts w:hint="eastAsia" w:ascii="仿宋_GB2312" w:eastAsia="仿宋_GB2312"/>
          <w:sz w:val="32"/>
          <w:szCs w:val="32"/>
          <w:u w:val="none"/>
        </w:rPr>
        <w:t>《关于打造长江经济带重要人才集聚高地的若干举措》（九发〔202</w:t>
      </w:r>
      <w:r>
        <w:rPr>
          <w:rFonts w:hint="eastAsia" w:ascii="仿宋_GB2312" w:eastAsia="仿宋_GB2312"/>
          <w:sz w:val="32"/>
          <w:szCs w:val="32"/>
          <w:u w:val="none"/>
          <w:lang w:val="en-US" w:eastAsia="zh-CN"/>
        </w:rPr>
        <w:t>3</w:t>
      </w:r>
      <w:r>
        <w:rPr>
          <w:rFonts w:hint="eastAsia" w:ascii="仿宋_GB2312" w:eastAsia="仿宋_GB2312"/>
          <w:sz w:val="32"/>
          <w:szCs w:val="32"/>
          <w:u w:val="none"/>
        </w:rPr>
        <w:t>〕</w:t>
      </w:r>
      <w:r>
        <w:rPr>
          <w:rFonts w:hint="eastAsia" w:ascii="仿宋_GB2312" w:eastAsia="仿宋_GB2312"/>
          <w:sz w:val="32"/>
          <w:szCs w:val="32"/>
          <w:u w:val="none"/>
          <w:lang w:val="en-US" w:eastAsia="zh-CN"/>
        </w:rPr>
        <w:t>6</w:t>
      </w:r>
      <w:r>
        <w:rPr>
          <w:rFonts w:hint="eastAsia" w:ascii="仿宋_GB2312" w:eastAsia="仿宋_GB2312"/>
          <w:sz w:val="32"/>
          <w:szCs w:val="32"/>
          <w:u w:val="none"/>
        </w:rPr>
        <w:t>号）及《德安县人才新政十条》（德发〔2023〕1号）要求</w:t>
      </w:r>
      <w:r>
        <w:rPr>
          <w:rFonts w:hint="eastAsia" w:ascii="仿宋" w:hAnsi="仿宋" w:eastAsia="仿宋" w:cs="仿宋"/>
          <w:sz w:val="32"/>
          <w:szCs w:val="32"/>
          <w:u w:val="none"/>
        </w:rPr>
        <w:t>，对企业、社会组织和个体经济全职新引进的在我县工作一年及以上的国际级顶尖人才、国家级杰出人才、省部级领军人才、省部级杰出人才、地市级领军人才、地市级杰出人才在我县购买首套住房的，分别给予100万元、80万元、30万元、20万元、5万元、4万元安家购房补贴；对非公经济组织和社会组织全职新引进的在我县工作一年及以上的地市级储备人才、专科生和中专生，在我县购买首套住房的，分别给予3万元、2万元和1万元安家购房补贴</w:t>
      </w:r>
      <w:r>
        <w:rPr>
          <w:rFonts w:hint="eastAsia" w:ascii="仿宋" w:hAnsi="仿宋" w:eastAsia="仿宋" w:cs="仿宋"/>
          <w:b/>
          <w:bCs w:val="0"/>
          <w:color w:val="000000" w:themeColor="text1"/>
          <w:kern w:val="2"/>
          <w:sz w:val="32"/>
          <w:szCs w:val="32"/>
          <w:u w:val="none"/>
          <w:lang w:val="en-US" w:eastAsia="zh-CN" w:bidi="ar-SA"/>
          <w14:textFill>
            <w14:solidFill>
              <w14:schemeClr w14:val="tx1"/>
            </w14:solidFill>
          </w14:textFill>
        </w:rPr>
        <w:t>（责任单位：县委人才办、县财政局、县自然资源局、县住建局）</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二、进一步保障市场有效供给</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bCs/>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w:t>
      </w:r>
      <w:r>
        <w:rPr>
          <w:rFonts w:hint="eastAsia" w:ascii="楷体" w:hAnsi="楷体" w:eastAsia="楷体" w:cs="楷体"/>
          <w:b/>
          <w:bCs/>
          <w:color w:val="000000" w:themeColor="text1"/>
          <w:sz w:val="32"/>
          <w:szCs w:val="32"/>
          <w:u w:val="none"/>
          <w:lang w:val="en-US" w:eastAsia="zh-CN"/>
          <w14:textFill>
            <w14:solidFill>
              <w14:schemeClr w14:val="tx1"/>
            </w14:solidFill>
          </w14:textFill>
        </w:rPr>
        <w:t>六</w:t>
      </w:r>
      <w:r>
        <w:rPr>
          <w:rFonts w:hint="eastAsia" w:ascii="楷体" w:hAnsi="楷体" w:eastAsia="楷体" w:cs="楷体"/>
          <w:b/>
          <w:bCs/>
          <w:color w:val="000000" w:themeColor="text1"/>
          <w:sz w:val="32"/>
          <w:szCs w:val="32"/>
          <w:u w:val="none"/>
          <w14:textFill>
            <w14:solidFill>
              <w14:schemeClr w14:val="tx1"/>
            </w14:solidFill>
          </w14:textFill>
        </w:rPr>
        <w:t>）优化土地供应机制。</w:t>
      </w:r>
      <w:r>
        <w:rPr>
          <w:rFonts w:hint="eastAsia" w:ascii="仿宋" w:hAnsi="仿宋" w:eastAsia="仿宋" w:cs="仿宋"/>
          <w:color w:val="000000" w:themeColor="text1"/>
          <w:sz w:val="32"/>
          <w:szCs w:val="32"/>
          <w:u w:val="none"/>
          <w14:textFill>
            <w14:solidFill>
              <w14:schemeClr w14:val="tx1"/>
            </w14:solidFill>
          </w14:textFill>
        </w:rPr>
        <w:t>建立季度研判调度机制，科学合理确定新增住宅用地供应量，确保商品住宅供需平衡。优先供应区位优越、配套设施完善、面积适中、形状规整的优质地块，合理设定土地出让底价。每年一季度向社会公开当年土地供应计划，每次公开拟出让住宅地块详细清单对应的拟出让时间段原则上不少于3个月，给市场主体充足的时间预判。强化房地产市场预期引导，引导竞拍意向人提前介入土地出让事项，最大程度匹配房地产市场竞拍意向人的需求。</w:t>
      </w:r>
      <w:r>
        <w:rPr>
          <w:rFonts w:hint="eastAsia" w:ascii="仿宋" w:hAnsi="仿宋" w:eastAsia="仿宋" w:cs="仿宋"/>
          <w:b/>
          <w:bCs w:val="0"/>
          <w:color w:val="000000" w:themeColor="text1"/>
          <w:sz w:val="32"/>
          <w:szCs w:val="32"/>
          <w:u w:val="none"/>
          <w14:textFill>
            <w14:solidFill>
              <w14:schemeClr w14:val="tx1"/>
            </w14:solidFill>
          </w14:textFill>
        </w:rPr>
        <w:t>（责任单位：县自然资源局、县财政局、县住建局）</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w:t>
      </w:r>
      <w:r>
        <w:rPr>
          <w:rFonts w:hint="eastAsia" w:ascii="楷体" w:hAnsi="楷体" w:eastAsia="楷体" w:cs="楷体"/>
          <w:b/>
          <w:bCs/>
          <w:color w:val="000000" w:themeColor="text1"/>
          <w:sz w:val="32"/>
          <w:szCs w:val="32"/>
          <w:u w:val="none"/>
          <w:lang w:val="en-US" w:eastAsia="zh-CN"/>
          <w14:textFill>
            <w14:solidFill>
              <w14:schemeClr w14:val="tx1"/>
            </w14:solidFill>
          </w14:textFill>
        </w:rPr>
        <w:t>七</w:t>
      </w:r>
      <w:r>
        <w:rPr>
          <w:rFonts w:hint="eastAsia" w:ascii="楷体" w:hAnsi="楷体" w:eastAsia="楷体" w:cs="楷体"/>
          <w:b/>
          <w:bCs/>
          <w:color w:val="000000" w:themeColor="text1"/>
          <w:sz w:val="32"/>
          <w:szCs w:val="32"/>
          <w:u w:val="none"/>
          <w14:textFill>
            <w14:solidFill>
              <w14:schemeClr w14:val="tx1"/>
            </w14:solidFill>
          </w14:textFill>
        </w:rPr>
        <w:t>）同步完善项目周边配套设施。</w:t>
      </w:r>
      <w:r>
        <w:rPr>
          <w:rFonts w:hint="eastAsia" w:ascii="仿宋" w:hAnsi="仿宋" w:eastAsia="仿宋" w:cs="仿宋"/>
          <w:color w:val="000000" w:themeColor="text1"/>
          <w:sz w:val="32"/>
          <w:szCs w:val="32"/>
          <w:u w:val="none"/>
          <w14:textFill>
            <w14:solidFill>
              <w14:schemeClr w14:val="tx1"/>
            </w14:solidFill>
          </w14:textFill>
        </w:rPr>
        <w:t>加大市政基础设施和公共服务设施配套建设力度，全力推进城市功能与品质再提升行动。推动优质义务教育学校集团化办学、优质医疗资源扩区扩容，促进优质教育、医疗资源区域均衡布局；进一步优化完善医疗卫生、养老服务、文化体育等公共服务设施规划；重点完善已供住宅用地相对集中区域的配套基础设施和公共服务设施，推动已规划的教育、医疗、交通等配套设施提前开工、提早建设、及时投入使用。</w:t>
      </w:r>
      <w:r>
        <w:rPr>
          <w:rFonts w:hint="eastAsia" w:ascii="仿宋" w:hAnsi="仿宋" w:eastAsia="仿宋" w:cs="仿宋"/>
          <w:b/>
          <w:bCs w:val="0"/>
          <w:color w:val="000000" w:themeColor="text1"/>
          <w:sz w:val="32"/>
          <w:szCs w:val="32"/>
          <w:u w:val="none"/>
          <w14:textFill>
            <w14:solidFill>
              <w14:schemeClr w14:val="tx1"/>
            </w14:solidFill>
          </w14:textFill>
        </w:rPr>
        <w:t>（责任单位：县自然资源局、县住建局、县民政局、县卫健委、县教体局、</w:t>
      </w:r>
      <w:r>
        <w:rPr>
          <w:rFonts w:hint="eastAsia" w:ascii="仿宋" w:hAnsi="仿宋" w:eastAsia="仿宋" w:cs="仿宋"/>
          <w:b/>
          <w:bCs w:val="0"/>
          <w:color w:val="000000" w:themeColor="text1"/>
          <w:sz w:val="32"/>
          <w:szCs w:val="32"/>
          <w:u w:val="none"/>
          <w:lang w:eastAsia="zh-CN"/>
          <w14:textFill>
            <w14:solidFill>
              <w14:schemeClr w14:val="tx1"/>
            </w14:solidFill>
          </w14:textFill>
        </w:rPr>
        <w:t>县文旅局、</w:t>
      </w:r>
      <w:r>
        <w:rPr>
          <w:rFonts w:hint="eastAsia" w:ascii="仿宋" w:hAnsi="仿宋" w:eastAsia="仿宋" w:cs="仿宋"/>
          <w:b/>
          <w:bCs w:val="0"/>
          <w:color w:val="000000" w:themeColor="text1"/>
          <w:sz w:val="32"/>
          <w:szCs w:val="32"/>
          <w:u w:val="none"/>
          <w14:textFill>
            <w14:solidFill>
              <w14:schemeClr w14:val="tx1"/>
            </w14:solidFill>
          </w14:textFill>
        </w:rPr>
        <w:t>县财政局）</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w:t>
      </w:r>
      <w:r>
        <w:rPr>
          <w:rFonts w:hint="eastAsia" w:ascii="楷体" w:hAnsi="楷体" w:eastAsia="楷体" w:cs="楷体"/>
          <w:b/>
          <w:bCs/>
          <w:color w:val="000000" w:themeColor="text1"/>
          <w:sz w:val="32"/>
          <w:szCs w:val="32"/>
          <w:u w:val="none"/>
          <w:lang w:val="en-US" w:eastAsia="zh-CN"/>
          <w14:textFill>
            <w14:solidFill>
              <w14:schemeClr w14:val="tx1"/>
            </w14:solidFill>
          </w14:textFill>
        </w:rPr>
        <w:t>八</w:t>
      </w:r>
      <w:r>
        <w:rPr>
          <w:rFonts w:hint="eastAsia" w:ascii="楷体" w:hAnsi="楷体" w:eastAsia="楷体" w:cs="楷体"/>
          <w:b/>
          <w:bCs/>
          <w:color w:val="000000" w:themeColor="text1"/>
          <w:sz w:val="32"/>
          <w:szCs w:val="32"/>
          <w:u w:val="none"/>
          <w14:textFill>
            <w14:solidFill>
              <w14:schemeClr w14:val="tx1"/>
            </w14:solidFill>
          </w14:textFill>
        </w:rPr>
        <w:t>）加快盘活存量用地。</w:t>
      </w:r>
      <w:r>
        <w:rPr>
          <w:rFonts w:hint="eastAsia" w:ascii="仿宋" w:hAnsi="仿宋" w:eastAsia="仿宋" w:cs="仿宋"/>
          <w:color w:val="000000" w:themeColor="text1"/>
          <w:sz w:val="32"/>
          <w:szCs w:val="32"/>
          <w:u w:val="none"/>
          <w14:textFill>
            <w14:solidFill>
              <w14:schemeClr w14:val="tx1"/>
            </w14:solidFill>
          </w14:textFill>
        </w:rPr>
        <w:t>对已出让尚未建设且没有法律纠纷的存量国有建设用地，由</w:t>
      </w:r>
      <w:r>
        <w:rPr>
          <w:rFonts w:hint="eastAsia" w:ascii="仿宋" w:hAnsi="仿宋" w:eastAsia="仿宋" w:cs="仿宋"/>
          <w:color w:val="000000" w:themeColor="text1"/>
          <w:sz w:val="32"/>
          <w:szCs w:val="32"/>
          <w:u w:val="none"/>
          <w:lang w:eastAsia="zh-CN"/>
          <w14:textFill>
            <w14:solidFill>
              <w14:schemeClr w14:val="tx1"/>
            </w14:solidFill>
          </w14:textFill>
        </w:rPr>
        <w:t>县</w:t>
      </w:r>
      <w:r>
        <w:rPr>
          <w:rFonts w:hint="eastAsia" w:ascii="仿宋" w:hAnsi="仿宋" w:eastAsia="仿宋" w:cs="仿宋"/>
          <w:color w:val="000000" w:themeColor="text1"/>
          <w:sz w:val="32"/>
          <w:szCs w:val="32"/>
          <w:u w:val="none"/>
          <w14:textFill>
            <w14:solidFill>
              <w14:schemeClr w14:val="tx1"/>
            </w14:solidFill>
          </w14:textFill>
        </w:rPr>
        <w:t>自然资源</w:t>
      </w:r>
      <w:r>
        <w:rPr>
          <w:rFonts w:hint="eastAsia" w:ascii="仿宋" w:hAnsi="仿宋" w:eastAsia="仿宋" w:cs="仿宋"/>
          <w:color w:val="000000" w:themeColor="text1"/>
          <w:sz w:val="32"/>
          <w:szCs w:val="32"/>
          <w:u w:val="none"/>
          <w:lang w:eastAsia="zh-CN"/>
          <w14:textFill>
            <w14:solidFill>
              <w14:schemeClr w14:val="tx1"/>
            </w14:solidFill>
          </w14:textFill>
        </w:rPr>
        <w:t>局</w:t>
      </w:r>
      <w:r>
        <w:rPr>
          <w:rFonts w:hint="eastAsia" w:ascii="仿宋" w:hAnsi="仿宋" w:eastAsia="仿宋" w:cs="仿宋"/>
          <w:color w:val="000000" w:themeColor="text1"/>
          <w:sz w:val="32"/>
          <w:szCs w:val="32"/>
          <w:u w:val="none"/>
          <w14:textFill>
            <w14:solidFill>
              <w14:schemeClr w14:val="tx1"/>
            </w14:solidFill>
          </w14:textFill>
        </w:rPr>
        <w:t>组织开展土地收回和规划优化可行性研究，经</w:t>
      </w:r>
      <w:r>
        <w:rPr>
          <w:rFonts w:hint="eastAsia" w:ascii="仿宋" w:hAnsi="仿宋" w:eastAsia="仿宋" w:cs="仿宋"/>
          <w:color w:val="000000" w:themeColor="text1"/>
          <w:sz w:val="32"/>
          <w:szCs w:val="32"/>
          <w:u w:val="none"/>
          <w:lang w:val="en-US" w:eastAsia="zh-CN"/>
          <w14:textFill>
            <w14:solidFill>
              <w14:schemeClr w14:val="tx1"/>
            </w14:solidFill>
          </w14:textFill>
        </w:rPr>
        <w:t>县</w:t>
      </w:r>
      <w:r>
        <w:rPr>
          <w:rFonts w:hint="eastAsia" w:ascii="仿宋" w:hAnsi="仿宋" w:eastAsia="仿宋" w:cs="仿宋"/>
          <w:color w:val="000000" w:themeColor="text1"/>
          <w:sz w:val="32"/>
          <w:szCs w:val="32"/>
          <w:u w:val="none"/>
          <w14:textFill>
            <w14:solidFill>
              <w14:schemeClr w14:val="tx1"/>
            </w14:solidFill>
          </w14:textFill>
        </w:rPr>
        <w:t>政府同意并按程序完善相关工作后，可重新实施土地供应。存量用地收回应符合相关规定，且规划优化后可以满足公共服务设施和基础配套设施承载力，不影响重点功能区核心功能实施。</w:t>
      </w:r>
      <w:r>
        <w:rPr>
          <w:rFonts w:hint="eastAsia" w:ascii="仿宋" w:hAnsi="仿宋" w:eastAsia="仿宋" w:cs="仿宋"/>
          <w:b/>
          <w:bCs w:val="0"/>
          <w:color w:val="000000" w:themeColor="text1"/>
          <w:sz w:val="32"/>
          <w:szCs w:val="32"/>
          <w:u w:val="none"/>
          <w14:textFill>
            <w14:solidFill>
              <w14:schemeClr w14:val="tx1"/>
            </w14:solidFill>
          </w14:textFill>
        </w:rPr>
        <w:t>（责任单位：县自然资源局）</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highlight w:val="none"/>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w:t>
      </w:r>
      <w:r>
        <w:rPr>
          <w:rFonts w:hint="eastAsia" w:ascii="楷体" w:hAnsi="楷体" w:eastAsia="楷体" w:cs="楷体"/>
          <w:b/>
          <w:bCs/>
          <w:color w:val="000000" w:themeColor="text1"/>
          <w:sz w:val="32"/>
          <w:szCs w:val="32"/>
          <w:u w:val="none"/>
          <w:lang w:val="en-US" w:eastAsia="zh-CN"/>
          <w14:textFill>
            <w14:solidFill>
              <w14:schemeClr w14:val="tx1"/>
            </w14:solidFill>
          </w14:textFill>
        </w:rPr>
        <w:t>九</w:t>
      </w:r>
      <w:r>
        <w:rPr>
          <w:rFonts w:hint="eastAsia" w:ascii="楷体" w:hAnsi="楷体" w:eastAsia="楷体" w:cs="楷体"/>
          <w:b/>
          <w:bCs/>
          <w:color w:val="000000" w:themeColor="text1"/>
          <w:sz w:val="32"/>
          <w:szCs w:val="32"/>
          <w:u w:val="none"/>
          <w14:textFill>
            <w14:solidFill>
              <w14:schemeClr w14:val="tx1"/>
            </w14:solidFill>
          </w14:textFill>
        </w:rPr>
        <w:t>）提高住房建设品质。</w:t>
      </w:r>
      <w:r>
        <w:rPr>
          <w:rFonts w:hint="eastAsia" w:ascii="仿宋" w:hAnsi="仿宋" w:eastAsia="仿宋" w:cs="仿宋"/>
          <w:color w:val="000000" w:themeColor="text1"/>
          <w:sz w:val="32"/>
          <w:szCs w:val="32"/>
          <w:u w:val="none"/>
          <w14:textFill>
            <w14:solidFill>
              <w14:schemeClr w14:val="tx1"/>
            </w14:solidFill>
          </w14:textFill>
        </w:rPr>
        <w:t>积极引导星级绿色居住建筑、装配式建筑、超低或近零能耗建筑发</w:t>
      </w:r>
      <w:r>
        <w:rPr>
          <w:rFonts w:hint="eastAsia" w:ascii="仿宋" w:hAnsi="仿宋" w:eastAsia="仿宋" w:cs="仿宋"/>
          <w:color w:val="000000" w:themeColor="text1"/>
          <w:sz w:val="32"/>
          <w:szCs w:val="32"/>
          <w:highlight w:val="none"/>
          <w:u w:val="none"/>
          <w14:textFill>
            <w14:solidFill>
              <w14:schemeClr w14:val="tx1"/>
            </w14:solidFill>
          </w14:textFill>
        </w:rPr>
        <w:t>展，提高住房建设标准，打造“好房子”样板。积极推行九江市城市森林花园建筑试点，对符合《九江市城市森林花园建筑工程试点工作方案（暂行）》（九府办字〔2023〕13号）规定的项目，“花园平台”及“开敞式公共休闲绿化平台”的面积免缴市政设施配套等规费，并不列入社区用房、养老用房、人防等配建设施规模计算基数。</w:t>
      </w:r>
      <w:r>
        <w:rPr>
          <w:rFonts w:hint="eastAsia" w:ascii="仿宋" w:hAnsi="仿宋" w:eastAsia="仿宋" w:cs="仿宋"/>
          <w:b/>
          <w:bCs w:val="0"/>
          <w:color w:val="000000" w:themeColor="text1"/>
          <w:sz w:val="32"/>
          <w:szCs w:val="32"/>
          <w:u w:val="none"/>
          <w14:textFill>
            <w14:solidFill>
              <w14:schemeClr w14:val="tx1"/>
            </w14:solidFill>
          </w14:textFill>
        </w:rPr>
        <w:t>（责任单位：县自然资源局、县住建局）</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三、进一步促进市场良性循环</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w:t>
      </w:r>
      <w:r>
        <w:rPr>
          <w:rFonts w:hint="eastAsia" w:ascii="楷体" w:hAnsi="楷体" w:eastAsia="楷体" w:cs="楷体"/>
          <w:b/>
          <w:bCs/>
          <w:color w:val="000000" w:themeColor="text1"/>
          <w:sz w:val="32"/>
          <w:szCs w:val="32"/>
          <w:u w:val="none"/>
          <w:lang w:val="en-US" w:eastAsia="zh-CN"/>
          <w14:textFill>
            <w14:solidFill>
              <w14:schemeClr w14:val="tx1"/>
            </w14:solidFill>
          </w14:textFill>
        </w:rPr>
        <w:t>十</w:t>
      </w:r>
      <w:r>
        <w:rPr>
          <w:rFonts w:hint="eastAsia" w:ascii="楷体" w:hAnsi="楷体" w:eastAsia="楷体" w:cs="楷体"/>
          <w:b/>
          <w:bCs/>
          <w:color w:val="000000" w:themeColor="text1"/>
          <w:sz w:val="32"/>
          <w:szCs w:val="32"/>
          <w:u w:val="none"/>
          <w14:textFill>
            <w14:solidFill>
              <w14:schemeClr w14:val="tx1"/>
            </w14:solidFill>
          </w14:textFill>
        </w:rPr>
        <w:t>）支持加快商业去库存。</w:t>
      </w:r>
      <w:r>
        <w:rPr>
          <w:rFonts w:hint="eastAsia" w:ascii="仿宋" w:hAnsi="仿宋" w:eastAsia="仿宋" w:cs="仿宋"/>
          <w:color w:val="000000" w:themeColor="text1"/>
          <w:sz w:val="32"/>
          <w:szCs w:val="32"/>
          <w:u w:val="none"/>
          <w14:textFill>
            <w14:solidFill>
              <w14:schemeClr w14:val="tx1"/>
            </w14:solidFill>
          </w14:textFill>
        </w:rPr>
        <w:t>严格控制商业性房地产项目用地供给，合理规划商业办公布局及规模，杜绝盲目超前规划、超前建设大型商业综合体、超高写字楼。在符合相关规划的前提下，支持在控制性详细规划中适当调减商业、商务用地比例或将商住混合用地调整为居住用地。已出让的商业、商住或可兼容商业性质的用地，在满足土地出让合同及招商协议的前提下，确需设置服务型公寓产品的（其计容建筑面积与商业计容建筑面积之比原则上不超过50%），由建设单位依法按程序报</w:t>
      </w:r>
      <w:r>
        <w:rPr>
          <w:rFonts w:hint="eastAsia" w:ascii="仿宋" w:hAnsi="仿宋" w:eastAsia="仿宋" w:cs="仿宋"/>
          <w:color w:val="000000" w:themeColor="text1"/>
          <w:sz w:val="32"/>
          <w:szCs w:val="32"/>
          <w:u w:val="none"/>
          <w:lang w:val="en-US" w:eastAsia="zh-CN"/>
          <w14:textFill>
            <w14:solidFill>
              <w14:schemeClr w14:val="tx1"/>
            </w14:solidFill>
          </w14:textFill>
        </w:rPr>
        <w:t>县自然资源局</w:t>
      </w:r>
      <w:r>
        <w:rPr>
          <w:rFonts w:hint="eastAsia" w:ascii="仿宋" w:hAnsi="仿宋" w:eastAsia="仿宋" w:cs="仿宋"/>
          <w:color w:val="000000" w:themeColor="text1"/>
          <w:sz w:val="32"/>
          <w:szCs w:val="32"/>
          <w:u w:val="none"/>
          <w14:textFill>
            <w14:solidFill>
              <w14:schemeClr w14:val="tx1"/>
            </w14:solidFill>
          </w14:textFill>
        </w:rPr>
        <w:t>批准。鼓励各单位根据实际需求情况，购买、租用新建商业办公类商品房用于幼儿园、文体活动中心、社区日间照料所、便民服务机构、创业中心、培训中心等项目。鼓励国有平台公司参与房企商业资产整合，通过购买非人防车位和闲置商业资产等来有效解决企业融资及停车难问题。个人购买经批准建设的服务型公寓，享受与该区域住宅同等落户政策，并可根据当地义务教育入学政策统筹安排入学，具体入学政策由县教体局结合学位供给情况确定。</w:t>
      </w:r>
      <w:r>
        <w:rPr>
          <w:rFonts w:hint="eastAsia" w:ascii="仿宋" w:hAnsi="仿宋" w:eastAsia="仿宋" w:cs="仿宋"/>
          <w:b/>
          <w:bCs w:val="0"/>
          <w:color w:val="000000" w:themeColor="text1"/>
          <w:sz w:val="32"/>
          <w:szCs w:val="32"/>
          <w:u w:val="none"/>
          <w14:textFill>
            <w14:solidFill>
              <w14:schemeClr w14:val="tx1"/>
            </w14:solidFill>
          </w14:textFill>
        </w:rPr>
        <w:t>（责任单位：县自然资源局、县财政局、县税务局、县住建局、县教体局、中寰集团、县供电</w:t>
      </w:r>
      <w:r>
        <w:rPr>
          <w:rFonts w:hint="eastAsia" w:ascii="仿宋" w:hAnsi="仿宋" w:eastAsia="仿宋" w:cs="仿宋"/>
          <w:b/>
          <w:bCs w:val="0"/>
          <w:color w:val="000000" w:themeColor="text1"/>
          <w:sz w:val="32"/>
          <w:szCs w:val="32"/>
          <w:u w:val="none"/>
          <w:lang w:val="en-US" w:eastAsia="zh-CN"/>
          <w14:textFill>
            <w14:solidFill>
              <w14:schemeClr w14:val="tx1"/>
            </w14:solidFill>
          </w14:textFill>
        </w:rPr>
        <w:t>公司</w:t>
      </w:r>
      <w:r>
        <w:rPr>
          <w:rFonts w:hint="eastAsia" w:ascii="仿宋" w:hAnsi="仿宋" w:eastAsia="仿宋" w:cs="仿宋"/>
          <w:b/>
          <w:bCs w:val="0"/>
          <w:color w:val="000000" w:themeColor="text1"/>
          <w:sz w:val="32"/>
          <w:szCs w:val="32"/>
          <w:u w:val="none"/>
          <w14:textFill>
            <w14:solidFill>
              <w14:schemeClr w14:val="tx1"/>
            </w14:solidFill>
          </w14:textFill>
        </w:rPr>
        <w:t>、</w:t>
      </w:r>
      <w:r>
        <w:rPr>
          <w:rFonts w:hint="eastAsia" w:ascii="仿宋" w:hAnsi="仿宋" w:eastAsia="仿宋" w:cs="仿宋"/>
          <w:b/>
          <w:bCs w:val="0"/>
          <w:color w:val="000000" w:themeColor="text1"/>
          <w:sz w:val="32"/>
          <w:szCs w:val="32"/>
          <w:u w:val="none"/>
          <w:lang w:val="en-US" w:eastAsia="zh-CN"/>
          <w14:textFill>
            <w14:solidFill>
              <w14:schemeClr w14:val="tx1"/>
            </w14:solidFill>
          </w14:textFill>
        </w:rPr>
        <w:t>德安润泉供水公司、</w:t>
      </w:r>
      <w:r>
        <w:rPr>
          <w:rFonts w:hint="eastAsia" w:ascii="仿宋" w:hAnsi="仿宋" w:eastAsia="仿宋" w:cs="仿宋"/>
          <w:b/>
          <w:bCs w:val="0"/>
          <w:color w:val="000000" w:themeColor="text1"/>
          <w:sz w:val="32"/>
          <w:szCs w:val="32"/>
          <w:u w:val="none"/>
          <w14:textFill>
            <w14:solidFill>
              <w14:schemeClr w14:val="tx1"/>
            </w14:solidFill>
          </w14:textFill>
        </w:rPr>
        <w:t>德安港华燃气公司）</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（十</w:t>
      </w:r>
      <w:r>
        <w:rPr>
          <w:rFonts w:hint="eastAsia" w:ascii="楷体" w:hAnsi="楷体" w:eastAsia="楷体" w:cs="楷体"/>
          <w:b/>
          <w:bCs/>
          <w:color w:val="000000" w:themeColor="text1"/>
          <w:sz w:val="32"/>
          <w:szCs w:val="32"/>
          <w:u w:val="none"/>
          <w:lang w:val="en-US" w:eastAsia="zh-CN"/>
          <w14:textFill>
            <w14:solidFill>
              <w14:schemeClr w14:val="tx1"/>
            </w14:solidFill>
          </w14:textFill>
        </w:rPr>
        <w:t>一</w:t>
      </w:r>
      <w:r>
        <w:rPr>
          <w:rFonts w:hint="eastAsia" w:ascii="楷体" w:hAnsi="楷体" w:eastAsia="楷体" w:cs="楷体"/>
          <w:b/>
          <w:bCs/>
          <w:color w:val="000000" w:themeColor="text1"/>
          <w:sz w:val="32"/>
          <w:szCs w:val="32"/>
          <w:u w:val="none"/>
          <w14:textFill>
            <w14:solidFill>
              <w14:schemeClr w14:val="tx1"/>
            </w14:solidFill>
          </w14:textFill>
        </w:rPr>
        <w:t>）全面实行存量房“带押过户”。</w:t>
      </w:r>
      <w:r>
        <w:rPr>
          <w:rFonts w:hint="eastAsia" w:ascii="仿宋" w:hAnsi="仿宋" w:eastAsia="仿宋" w:cs="仿宋"/>
          <w:color w:val="000000" w:themeColor="text1"/>
          <w:sz w:val="32"/>
          <w:szCs w:val="32"/>
          <w:u w:val="none"/>
          <w14:textFill>
            <w14:solidFill>
              <w14:schemeClr w14:val="tx1"/>
            </w14:solidFill>
          </w14:textFill>
        </w:rPr>
        <w:t>简化抵押存量房交易程序，符合相关条件的已抵押存量房，无需提前归还旧贷款、注销抵押登记，即可完成过户、再次抵押和发放新贷款等手续，实现“带押过户”，节约交易双方资金和时间成本。</w:t>
      </w:r>
      <w:r>
        <w:rPr>
          <w:rFonts w:hint="eastAsia" w:ascii="仿宋" w:hAnsi="仿宋" w:eastAsia="仿宋" w:cs="仿宋"/>
          <w:b/>
          <w:bCs w:val="0"/>
          <w:color w:val="000000" w:themeColor="text1"/>
          <w:sz w:val="32"/>
          <w:szCs w:val="32"/>
          <w:u w:val="none"/>
          <w14:textFill>
            <w14:solidFill>
              <w14:schemeClr w14:val="tx1"/>
            </w14:solidFill>
          </w14:textFill>
        </w:rPr>
        <w:t>（责任单位：县自然资源局、县住建局、县行政审批局、县司法局、市住房公积金管理中心德安办事处）</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14:textFill>
            <w14:solidFill>
              <w14:schemeClr w14:val="tx1"/>
            </w14:solidFill>
          </w14:textFill>
        </w:rPr>
        <w:t>（十</w:t>
      </w:r>
      <w:r>
        <w:rPr>
          <w:rFonts w:hint="eastAsia" w:ascii="楷体" w:hAnsi="楷体" w:eastAsia="楷体" w:cs="楷体"/>
          <w:b/>
          <w:bCs/>
          <w:color w:val="000000" w:themeColor="text1"/>
          <w:sz w:val="32"/>
          <w:szCs w:val="32"/>
          <w:u w:val="none"/>
          <w:lang w:val="en-US" w:eastAsia="zh-CN"/>
          <w14:textFill>
            <w14:solidFill>
              <w14:schemeClr w14:val="tx1"/>
            </w14:solidFill>
          </w14:textFill>
        </w:rPr>
        <w:t>二</w:t>
      </w:r>
      <w:r>
        <w:rPr>
          <w:rFonts w:hint="eastAsia" w:ascii="楷体" w:hAnsi="楷体" w:eastAsia="楷体" w:cs="楷体"/>
          <w:b/>
          <w:bCs/>
          <w:color w:val="000000" w:themeColor="text1"/>
          <w:sz w:val="32"/>
          <w:szCs w:val="32"/>
          <w:u w:val="none"/>
          <w14:textFill>
            <w14:solidFill>
              <w14:schemeClr w14:val="tx1"/>
            </w14:solidFill>
          </w14:textFill>
        </w:rPr>
        <w:t>）及时动态调整存量房交易计税基准价格。</w:t>
      </w:r>
      <w:r>
        <w:rPr>
          <w:rFonts w:hint="eastAsia" w:ascii="仿宋" w:hAnsi="仿宋" w:eastAsia="仿宋" w:cs="仿宋"/>
          <w:color w:val="000000" w:themeColor="text1"/>
          <w:sz w:val="32"/>
          <w:szCs w:val="32"/>
          <w:u w:val="none"/>
          <w14:textFill>
            <w14:solidFill>
              <w14:schemeClr w14:val="tx1"/>
            </w14:solidFill>
          </w14:textFill>
        </w:rPr>
        <w:t>根据房地产市场运行、价格变化等情况，定期调整存量房交易计税基准价格，促进存量房交易流通。</w:t>
      </w:r>
      <w:r>
        <w:rPr>
          <w:rFonts w:hint="eastAsia" w:ascii="仿宋" w:hAnsi="仿宋" w:eastAsia="仿宋" w:cs="仿宋"/>
          <w:b/>
          <w:bCs w:val="0"/>
          <w:color w:val="000000" w:themeColor="text1"/>
          <w:sz w:val="32"/>
          <w:szCs w:val="32"/>
          <w:u w:val="none"/>
          <w14:textFill>
            <w14:solidFill>
              <w14:schemeClr w14:val="tx1"/>
            </w14:solidFill>
          </w14:textFill>
        </w:rPr>
        <w:t>（责任单位：县税务局、县自然资源局、县住建局）</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val="0"/>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（十三）继续执行土地出让价款缴纳政策。</w:t>
      </w:r>
      <w:r>
        <w:rPr>
          <w:rFonts w:hint="eastAsia" w:ascii="仿宋" w:hAnsi="仿宋" w:eastAsia="仿宋" w:cs="仿宋"/>
          <w:color w:val="000000" w:themeColor="text1"/>
          <w:sz w:val="32"/>
          <w:szCs w:val="32"/>
          <w:u w:val="none"/>
          <w:lang w:val="en-US" w:eastAsia="zh-CN"/>
          <w14:textFill>
            <w14:solidFill>
              <w14:schemeClr w14:val="tx1"/>
            </w14:solidFill>
          </w14:textFill>
        </w:rPr>
        <w:t>以招标、拍卖或者挂牌方式出让国有建设用地使用权，土地出让竞买保证金继续按最低比例（出让起始价的20%）缴纳，成交的土地自合同签订之日起1个月内缴纳出让价款的50%，剩余土地出让金缴纳期限可延长至12个月，政策有效期到2024年12月31日。</w:t>
      </w:r>
      <w:r>
        <w:rPr>
          <w:rFonts w:hint="eastAsia" w:ascii="仿宋" w:hAnsi="仿宋" w:eastAsia="仿宋" w:cs="仿宋"/>
          <w:b/>
          <w:bCs w:val="0"/>
          <w:color w:val="000000" w:themeColor="text1"/>
          <w:sz w:val="32"/>
          <w:szCs w:val="32"/>
          <w:u w:val="none"/>
          <w:lang w:val="en-US" w:eastAsia="zh-CN"/>
          <w14:textFill>
            <w14:solidFill>
              <w14:schemeClr w14:val="tx1"/>
            </w14:solidFill>
          </w14:textFill>
        </w:rPr>
        <w:t>（责任单位：县自然资源局、县税务局、县财政局、县行政审批局）</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四、进一步加大金融支持力度</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（十四）支持房地产企业合理融资。</w:t>
      </w:r>
      <w:r>
        <w:rPr>
          <w:rFonts w:hint="eastAsia" w:ascii="仿宋" w:hAnsi="仿宋" w:eastAsia="仿宋" w:cs="仿宋"/>
          <w:color w:val="000000" w:themeColor="text1"/>
          <w:sz w:val="32"/>
          <w:szCs w:val="32"/>
          <w:u w:val="none"/>
          <w14:textFill>
            <w14:solidFill>
              <w14:schemeClr w14:val="tx1"/>
            </w14:solidFill>
          </w14:textFill>
        </w:rPr>
        <w:t>金融机构在发放房地产开发贷款时，应区分项目子公司风险和集团控股公司风险，在保证风险可控的基础上，满足房地产项目合理融资需求，保持房地产开发贷款平稳有序投放。支持优质房企发行债券融资，为优质房企发行债券融资工具提供增信支持。支持金融机构积极参与房企风险处置项目并购，提供并购贷款和金融服务，对并购风险和困难房企项目的并购贷款暂不纳入房地产贷款集中度管理。在保证债权安全的前提下，支持金融机构与房地产企业自主协商，对开发贷款、信托融资等存量融资积极通过展期、调整还款安排等方式予以支持，促进项目完工交付。2024年12月31日前到期的，可以允许超出原规定多展期1年。</w:t>
      </w:r>
      <w:r>
        <w:rPr>
          <w:rFonts w:hint="eastAsia" w:ascii="仿宋" w:hAnsi="仿宋" w:eastAsia="仿宋" w:cs="仿宋"/>
          <w:b/>
          <w:bCs w:val="0"/>
          <w:color w:val="000000" w:themeColor="text1"/>
          <w:sz w:val="32"/>
          <w:szCs w:val="32"/>
          <w:u w:val="none"/>
          <w14:textFill>
            <w14:solidFill>
              <w14:schemeClr w14:val="tx1"/>
            </w14:solidFill>
          </w14:textFill>
        </w:rPr>
        <w:t>（责任单位：县金融</w:t>
      </w:r>
      <w:r>
        <w:rPr>
          <w:rFonts w:hint="eastAsia" w:ascii="仿宋" w:hAnsi="仿宋" w:eastAsia="仿宋" w:cs="仿宋"/>
          <w:b/>
          <w:bCs w:val="0"/>
          <w:color w:val="000000" w:themeColor="text1"/>
          <w:sz w:val="32"/>
          <w:szCs w:val="32"/>
          <w:u w:val="none"/>
          <w:lang w:eastAsia="zh-CN"/>
          <w14:textFill>
            <w14:solidFill>
              <w14:schemeClr w14:val="tx1"/>
            </w14:solidFill>
          </w14:textFill>
        </w:rPr>
        <w:t>服务中心</w:t>
      </w:r>
      <w:r>
        <w:rPr>
          <w:rFonts w:hint="eastAsia" w:ascii="仿宋" w:hAnsi="仿宋" w:eastAsia="仿宋" w:cs="仿宋"/>
          <w:b/>
          <w:bCs w:val="0"/>
          <w:color w:val="000000" w:themeColor="text1"/>
          <w:sz w:val="32"/>
          <w:szCs w:val="32"/>
          <w:u w:val="none"/>
          <w14:textFill>
            <w14:solidFill>
              <w14:schemeClr w14:val="tx1"/>
            </w14:solidFill>
          </w14:textFill>
        </w:rPr>
        <w:t>、县住建局）</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（十五）继续按最低限执行贷款首付比例。</w:t>
      </w:r>
      <w:r>
        <w:rPr>
          <w:rFonts w:hint="eastAsia" w:ascii="仿宋" w:hAnsi="仿宋" w:eastAsia="仿宋" w:cs="仿宋"/>
          <w:color w:val="000000" w:themeColor="text1"/>
          <w:sz w:val="32"/>
          <w:szCs w:val="32"/>
          <w:u w:val="none"/>
          <w14:textFill>
            <w14:solidFill>
              <w14:schemeClr w14:val="tx1"/>
            </w14:solidFill>
          </w14:textFill>
        </w:rPr>
        <w:t>对首次购买住房申请公积金或商业贷款的，首付最低比例要求按国家相关政策下限执行。对拥有一套住房并已结清购房贷款的家庭，为改善居住条件再次申请贷款购买商品住房且符合我县贷款使用条件的，商业性个人住房贷款均继续执行首套房贷款政策。</w:t>
      </w:r>
      <w:r>
        <w:rPr>
          <w:rFonts w:hint="eastAsia" w:ascii="仿宋" w:hAnsi="仿宋" w:eastAsia="仿宋" w:cs="仿宋"/>
          <w:b/>
          <w:bCs w:val="0"/>
          <w:color w:val="000000" w:themeColor="text1"/>
          <w:sz w:val="32"/>
          <w:szCs w:val="32"/>
          <w:u w:val="none"/>
          <w14:textFill>
            <w14:solidFill>
              <w14:schemeClr w14:val="tx1"/>
            </w14:solidFill>
          </w14:textFill>
        </w:rPr>
        <w:t>（责任单位：县住建局、市住房公积金管理中心德安办事处）</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（十六）落实首套住房贷款利率动态调整机制。</w:t>
      </w:r>
      <w:r>
        <w:rPr>
          <w:rFonts w:hint="eastAsia" w:ascii="仿宋" w:hAnsi="仿宋" w:eastAsia="仿宋" w:cs="仿宋"/>
          <w:color w:val="000000" w:themeColor="text1"/>
          <w:sz w:val="32"/>
          <w:szCs w:val="32"/>
          <w:u w:val="none"/>
          <w14:textFill>
            <w14:solidFill>
              <w14:schemeClr w14:val="tx1"/>
            </w14:solidFill>
          </w14:textFill>
        </w:rPr>
        <w:t>在符合新发放首套住房贷款利率政策动态调整长效机制要求的前提下，新发放首套住房个人住房贷款利率下限继续按LPR-30BP执行。</w:t>
      </w:r>
      <w:r>
        <w:rPr>
          <w:rFonts w:hint="eastAsia" w:ascii="仿宋" w:hAnsi="仿宋" w:eastAsia="仿宋" w:cs="仿宋"/>
          <w:b/>
          <w:bCs w:val="0"/>
          <w:color w:val="000000" w:themeColor="text1"/>
          <w:sz w:val="32"/>
          <w:szCs w:val="32"/>
          <w:u w:val="none"/>
          <w14:textFill>
            <w14:solidFill>
              <w14:schemeClr w14:val="tx1"/>
            </w14:solidFill>
          </w14:textFill>
        </w:rPr>
        <w:t>（责任单位：县金融</w:t>
      </w:r>
      <w:r>
        <w:rPr>
          <w:rFonts w:hint="eastAsia" w:ascii="仿宋" w:hAnsi="仿宋" w:eastAsia="仿宋" w:cs="仿宋"/>
          <w:b/>
          <w:bCs w:val="0"/>
          <w:color w:val="000000" w:themeColor="text1"/>
          <w:sz w:val="32"/>
          <w:szCs w:val="32"/>
          <w:u w:val="none"/>
          <w:lang w:eastAsia="zh-CN"/>
          <w14:textFill>
            <w14:solidFill>
              <w14:schemeClr w14:val="tx1"/>
            </w14:solidFill>
          </w14:textFill>
        </w:rPr>
        <w:t>服务中心</w:t>
      </w:r>
      <w:r>
        <w:rPr>
          <w:rFonts w:hint="eastAsia" w:ascii="仿宋" w:hAnsi="仿宋" w:eastAsia="仿宋" w:cs="仿宋"/>
          <w:b/>
          <w:bCs w:val="0"/>
          <w:color w:val="000000" w:themeColor="text1"/>
          <w:sz w:val="32"/>
          <w:szCs w:val="32"/>
          <w:u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（十七）持续优化住房公积金使用政策。</w:t>
      </w:r>
      <w:r>
        <w:rPr>
          <w:rFonts w:hint="eastAsia" w:ascii="仿宋" w:hAnsi="仿宋" w:eastAsia="仿宋" w:cs="仿宋"/>
          <w:color w:val="000000" w:themeColor="text1"/>
          <w:sz w:val="32"/>
          <w:szCs w:val="32"/>
          <w:u w:val="none"/>
          <w14:textFill>
            <w14:solidFill>
              <w14:schemeClr w14:val="tx1"/>
            </w14:solidFill>
          </w14:textFill>
        </w:rPr>
        <w:t>实行“既贷又提”公积金政策，对购买我县新建商品住房且符合提取条件的职工，可预提住房公积金，资金转入开发企业预售资金监管账户，用于合同备案后支付购房首付款。二孩、三孩家庭购买首套自住住房申请公积金贷款最高额度分别上调10%、20%。扩大住房公积金异地互认互贷,继续推行全省一体化贷款政策，省内其他城市缴存职工可享受我县缴存职工公积金信贷的同等待遇。</w:t>
      </w:r>
      <w:r>
        <w:rPr>
          <w:rFonts w:hint="eastAsia" w:ascii="仿宋" w:hAnsi="仿宋" w:eastAsia="仿宋" w:cs="仿宋"/>
          <w:b/>
          <w:bCs w:val="0"/>
          <w:color w:val="000000" w:themeColor="text1"/>
          <w:sz w:val="32"/>
          <w:szCs w:val="32"/>
          <w:u w:val="none"/>
          <w14:textFill>
            <w14:solidFill>
              <w14:schemeClr w14:val="tx1"/>
            </w14:solidFill>
          </w14:textFill>
        </w:rPr>
        <w:t>（责任单位：县住建局、九江市住房公积金管理中心德安办事处）</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五、进一步防范化解重大风险</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（十八）依法依规限制失信市场主体参与土地竞拍。</w:t>
      </w:r>
      <w:r>
        <w:rPr>
          <w:rFonts w:hint="eastAsia" w:ascii="仿宋" w:hAnsi="仿宋" w:eastAsia="仿宋" w:cs="仿宋"/>
          <w:color w:val="000000" w:themeColor="text1"/>
          <w:sz w:val="32"/>
          <w:szCs w:val="32"/>
          <w:u w:val="none"/>
          <w14:textFill>
            <w14:solidFill>
              <w14:schemeClr w14:val="tx1"/>
            </w14:solidFill>
          </w14:textFill>
        </w:rPr>
        <w:t>加强土地市场准入管理，对房地产开发企业或其控股集团公司存在因企业原因造成土地闲置一年以上、拖欠土地价款、违反出让合同约定条件等违规行为的，县自然资源局依法依规限制其参与土地出让活动。</w:t>
      </w:r>
      <w:r>
        <w:rPr>
          <w:rFonts w:hint="eastAsia" w:ascii="仿宋" w:hAnsi="仿宋" w:eastAsia="仿宋" w:cs="仿宋"/>
          <w:b/>
          <w:bCs w:val="0"/>
          <w:color w:val="000000" w:themeColor="text1"/>
          <w:sz w:val="32"/>
          <w:szCs w:val="32"/>
          <w:u w:val="none"/>
          <w14:textFill>
            <w14:solidFill>
              <w14:schemeClr w14:val="tx1"/>
            </w14:solidFill>
          </w14:textFill>
        </w:rPr>
        <w:t>（责任单位：县自然资源局、县住建局、县财政局、县金融服务中心）</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（十九）落实保交楼商业配套融资。</w:t>
      </w:r>
      <w:r>
        <w:rPr>
          <w:rFonts w:hint="eastAsia" w:ascii="仿宋" w:hAnsi="仿宋" w:eastAsia="仿宋" w:cs="仿宋"/>
          <w:color w:val="000000" w:themeColor="text1"/>
          <w:sz w:val="32"/>
          <w:szCs w:val="32"/>
          <w:u w:val="none"/>
          <w14:textFill>
            <w14:solidFill>
              <w14:schemeClr w14:val="tx1"/>
            </w14:solidFill>
          </w14:textFill>
        </w:rPr>
        <w:t>攻坚化解个别头部房企逾期交付风险，统筹化解其他房企风险，全力实现“保交楼、稳民生”目标任务，重塑市场信心。建立政银企合作长效机制，支持将主贷银行等有关商业银行纳入保交楼项目工作专班，及时共享保交楼项目融资有关信息，积极为商业配套融资创建担保质押等条件。建立商业银行间竞争机制，将商业银行保交楼配套融资投放情况作为财政资金、住房公积金、商品房预售监管资金、住宅专项维修资金等资金存放的考核激励因素。</w:t>
      </w:r>
      <w:r>
        <w:rPr>
          <w:rFonts w:hint="eastAsia" w:ascii="仿宋" w:hAnsi="仿宋" w:eastAsia="仿宋" w:cs="仿宋"/>
          <w:b/>
          <w:bCs w:val="0"/>
          <w:color w:val="000000" w:themeColor="text1"/>
          <w:sz w:val="32"/>
          <w:szCs w:val="32"/>
          <w:u w:val="none"/>
          <w14:textFill>
            <w14:solidFill>
              <w14:schemeClr w14:val="tx1"/>
            </w14:solidFill>
          </w14:textFill>
        </w:rPr>
        <w:t>（责任单位：县金融服务中心、县财政局、县住建局）</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六、进一步优化行业服务管理</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（二十）稳步推进“交房即交证”改革。</w:t>
      </w:r>
      <w:r>
        <w:rPr>
          <w:rFonts w:hint="eastAsia" w:ascii="仿宋" w:hAnsi="仿宋" w:eastAsia="仿宋" w:cs="仿宋"/>
          <w:color w:val="000000" w:themeColor="text1"/>
          <w:sz w:val="32"/>
          <w:szCs w:val="32"/>
          <w:u w:val="none"/>
          <w14:textFill>
            <w14:solidFill>
              <w14:schemeClr w14:val="tx1"/>
            </w14:solidFill>
          </w14:textFill>
        </w:rPr>
        <w:t>建立</w:t>
      </w:r>
      <w:r>
        <w:rPr>
          <w:rFonts w:hint="eastAsia" w:ascii="仿宋" w:hAnsi="仿宋" w:eastAsia="仿宋" w:cs="仿宋"/>
          <w:color w:val="000000" w:themeColor="text1"/>
          <w:sz w:val="32"/>
          <w:szCs w:val="32"/>
          <w:u w:val="none"/>
          <w:lang w:val="en-US" w:eastAsia="zh-CN"/>
          <w14:textFill>
            <w14:solidFill>
              <w14:schemeClr w14:val="tx1"/>
            </w14:solidFill>
          </w14:textFill>
        </w:rPr>
        <w:t>县</w:t>
      </w:r>
      <w:r>
        <w:rPr>
          <w:rFonts w:hint="eastAsia" w:ascii="仿宋" w:hAnsi="仿宋" w:eastAsia="仿宋" w:cs="仿宋"/>
          <w:color w:val="000000" w:themeColor="text1"/>
          <w:sz w:val="32"/>
          <w:szCs w:val="32"/>
          <w:u w:val="none"/>
          <w14:textFill>
            <w14:solidFill>
              <w14:schemeClr w14:val="tx1"/>
            </w14:solidFill>
          </w14:textFill>
        </w:rPr>
        <w:t>自然资源</w:t>
      </w:r>
      <w:r>
        <w:rPr>
          <w:rFonts w:hint="eastAsia" w:ascii="仿宋" w:hAnsi="仿宋" w:eastAsia="仿宋" w:cs="仿宋"/>
          <w:color w:val="000000" w:themeColor="text1"/>
          <w:sz w:val="32"/>
          <w:szCs w:val="32"/>
          <w:u w:val="none"/>
          <w:lang w:val="en-US" w:eastAsia="zh-CN"/>
          <w14:textFill>
            <w14:solidFill>
              <w14:schemeClr w14:val="tx1"/>
            </w14:solidFill>
          </w14:textFill>
        </w:rPr>
        <w:t>局</w:t>
      </w:r>
      <w:r>
        <w:rPr>
          <w:rFonts w:hint="eastAsia" w:ascii="仿宋" w:hAnsi="仿宋" w:eastAsia="仿宋" w:cs="仿宋"/>
          <w:color w:val="000000" w:themeColor="text1"/>
          <w:sz w:val="32"/>
          <w:szCs w:val="32"/>
          <w:u w:val="none"/>
          <w14:textFill>
            <w14:solidFill>
              <w14:schemeClr w14:val="tx1"/>
            </w14:solidFill>
          </w14:textFill>
        </w:rPr>
        <w:t>、住建</w:t>
      </w:r>
      <w:r>
        <w:rPr>
          <w:rFonts w:hint="eastAsia" w:ascii="仿宋" w:hAnsi="仿宋" w:eastAsia="仿宋" w:cs="仿宋"/>
          <w:color w:val="000000" w:themeColor="text1"/>
          <w:sz w:val="32"/>
          <w:szCs w:val="32"/>
          <w:u w:val="none"/>
          <w:lang w:val="en-US" w:eastAsia="zh-CN"/>
          <w14:textFill>
            <w14:solidFill>
              <w14:schemeClr w14:val="tx1"/>
            </w14:solidFill>
          </w14:textFill>
        </w:rPr>
        <w:t>局</w:t>
      </w:r>
      <w:r>
        <w:rPr>
          <w:rFonts w:hint="eastAsia" w:ascii="仿宋" w:hAnsi="仿宋" w:eastAsia="仿宋" w:cs="仿宋"/>
          <w:color w:val="000000" w:themeColor="text1"/>
          <w:sz w:val="32"/>
          <w:szCs w:val="32"/>
          <w:u w:val="none"/>
          <w14:textFill>
            <w14:solidFill>
              <w14:schemeClr w14:val="tx1"/>
            </w14:solidFill>
          </w14:textFill>
        </w:rPr>
        <w:t>、税务</w:t>
      </w:r>
      <w:r>
        <w:rPr>
          <w:rFonts w:hint="eastAsia" w:ascii="仿宋" w:hAnsi="仿宋" w:eastAsia="仿宋" w:cs="仿宋"/>
          <w:color w:val="000000" w:themeColor="text1"/>
          <w:sz w:val="32"/>
          <w:szCs w:val="32"/>
          <w:u w:val="none"/>
          <w:lang w:val="en-US" w:eastAsia="zh-CN"/>
          <w14:textFill>
            <w14:solidFill>
              <w14:schemeClr w14:val="tx1"/>
            </w14:solidFill>
          </w14:textFill>
        </w:rPr>
        <w:t>局</w:t>
      </w:r>
      <w:r>
        <w:rPr>
          <w:rFonts w:hint="eastAsia" w:ascii="仿宋" w:hAnsi="仿宋" w:eastAsia="仿宋" w:cs="仿宋"/>
          <w:color w:val="000000" w:themeColor="text1"/>
          <w:sz w:val="32"/>
          <w:szCs w:val="32"/>
          <w:u w:val="none"/>
          <w14:textFill>
            <w14:solidFill>
              <w14:schemeClr w14:val="tx1"/>
            </w14:solidFill>
          </w14:textFill>
        </w:rPr>
        <w:t>等部门参与的联合共享机制，统筹推进工程建设项目审批制度、建设项目“多测合一”，推行用水用气用电联合报装等改革事项，探索工程规划核实、竣工验收备案、房屋交付使用、税费征缴、不动产登记办理等协同办理机制。在新建商品房项目开展“交房即交证”改革试点，逐步实现“交房即交证”常态化。</w:t>
      </w:r>
      <w:r>
        <w:rPr>
          <w:rFonts w:hint="eastAsia" w:ascii="仿宋" w:hAnsi="仿宋" w:eastAsia="仿宋" w:cs="仿宋"/>
          <w:b/>
          <w:bCs w:val="0"/>
          <w:color w:val="000000" w:themeColor="text1"/>
          <w:sz w:val="32"/>
          <w:szCs w:val="32"/>
          <w:u w:val="none"/>
          <w14:textFill>
            <w14:solidFill>
              <w14:schemeClr w14:val="tx1"/>
            </w14:solidFill>
          </w14:textFill>
        </w:rPr>
        <w:t>（责任单位：县自然资源局、县住建局、县税务局、县行政审批局、中寰集团、县供电公司、德安港华燃气公司、德安润泉供水有限公司）</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000000" w:themeColor="text1"/>
          <w:sz w:val="32"/>
          <w:szCs w:val="32"/>
          <w:u w:val="none"/>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（二十一）进一步规范房地产市场秩序。</w:t>
      </w:r>
      <w:r>
        <w:rPr>
          <w:rFonts w:hint="eastAsia" w:ascii="仿宋" w:hAnsi="仿宋" w:eastAsia="仿宋" w:cs="仿宋"/>
          <w:color w:val="000000" w:themeColor="text1"/>
          <w:sz w:val="32"/>
          <w:szCs w:val="32"/>
          <w:u w:val="none"/>
          <w14:textFill>
            <w14:solidFill>
              <w14:schemeClr w14:val="tx1"/>
            </w14:solidFill>
          </w14:textFill>
        </w:rPr>
        <w:t>持续整治房地产市场秩序，加大对房地产开发企业、经纪机构经营行为及其从业人员的监管。</w:t>
      </w:r>
      <w:r>
        <w:rPr>
          <w:rFonts w:hint="eastAsia" w:ascii="仿宋" w:hAnsi="仿宋" w:eastAsia="仿宋" w:cs="仿宋"/>
          <w:color w:val="000000" w:themeColor="text1"/>
          <w:sz w:val="32"/>
          <w:szCs w:val="32"/>
          <w:u w:val="none"/>
          <w:lang w:eastAsia="zh-CN"/>
          <w14:textFill>
            <w14:solidFill>
              <w14:schemeClr w14:val="tx1"/>
            </w14:solidFill>
          </w14:textFill>
        </w:rPr>
        <w:t>县</w:t>
      </w:r>
      <w:r>
        <w:rPr>
          <w:rFonts w:hint="eastAsia" w:ascii="仿宋" w:hAnsi="仿宋" w:eastAsia="仿宋" w:cs="仿宋"/>
          <w:color w:val="000000" w:themeColor="text1"/>
          <w:sz w:val="32"/>
          <w:szCs w:val="32"/>
          <w:u w:val="none"/>
          <w14:textFill>
            <w14:solidFill>
              <w14:schemeClr w14:val="tx1"/>
            </w14:solidFill>
          </w14:textFill>
        </w:rPr>
        <w:t>住建</w:t>
      </w:r>
      <w:r>
        <w:rPr>
          <w:rFonts w:hint="eastAsia" w:ascii="仿宋" w:hAnsi="仿宋" w:eastAsia="仿宋" w:cs="仿宋"/>
          <w:color w:val="000000" w:themeColor="text1"/>
          <w:sz w:val="32"/>
          <w:szCs w:val="32"/>
          <w:u w:val="none"/>
          <w:lang w:eastAsia="zh-CN"/>
          <w14:textFill>
            <w14:solidFill>
              <w14:schemeClr w14:val="tx1"/>
            </w14:solidFill>
          </w14:textFill>
        </w:rPr>
        <w:t>局</w:t>
      </w:r>
      <w:r>
        <w:rPr>
          <w:rFonts w:hint="eastAsia" w:ascii="仿宋" w:hAnsi="仿宋" w:eastAsia="仿宋" w:cs="仿宋"/>
          <w:color w:val="000000" w:themeColor="text1"/>
          <w:sz w:val="32"/>
          <w:szCs w:val="32"/>
          <w:u w:val="none"/>
          <w14:textFill>
            <w14:solidFill>
              <w14:schemeClr w14:val="tx1"/>
            </w14:solidFill>
          </w14:textFill>
        </w:rPr>
        <w:t>与</w:t>
      </w:r>
      <w:r>
        <w:rPr>
          <w:rFonts w:hint="eastAsia" w:ascii="仿宋" w:hAnsi="仿宋" w:eastAsia="仿宋" w:cs="仿宋"/>
          <w:color w:val="000000" w:themeColor="text1"/>
          <w:sz w:val="32"/>
          <w:szCs w:val="32"/>
          <w:u w:val="none"/>
          <w:lang w:eastAsia="zh-CN"/>
          <w14:textFill>
            <w14:solidFill>
              <w14:schemeClr w14:val="tx1"/>
            </w14:solidFill>
          </w14:textFill>
        </w:rPr>
        <w:t>县</w:t>
      </w:r>
      <w:r>
        <w:rPr>
          <w:rFonts w:hint="eastAsia" w:ascii="仿宋" w:hAnsi="仿宋" w:eastAsia="仿宋" w:cs="仿宋"/>
          <w:color w:val="000000" w:themeColor="text1"/>
          <w:sz w:val="32"/>
          <w:szCs w:val="32"/>
          <w:u w:val="none"/>
          <w14:textFill>
            <w14:solidFill>
              <w14:schemeClr w14:val="tx1"/>
            </w14:solidFill>
          </w14:textFill>
        </w:rPr>
        <w:t>市监理</w:t>
      </w:r>
      <w:r>
        <w:rPr>
          <w:rFonts w:hint="eastAsia" w:ascii="仿宋" w:hAnsi="仿宋" w:eastAsia="仿宋" w:cs="仿宋"/>
          <w:color w:val="000000" w:themeColor="text1"/>
          <w:sz w:val="32"/>
          <w:szCs w:val="32"/>
          <w:u w:val="none"/>
          <w:lang w:eastAsia="zh-CN"/>
          <w14:textFill>
            <w14:solidFill>
              <w14:schemeClr w14:val="tx1"/>
            </w14:solidFill>
          </w14:textFill>
        </w:rPr>
        <w:t>局</w:t>
      </w:r>
      <w:r>
        <w:rPr>
          <w:rFonts w:hint="eastAsia" w:ascii="仿宋" w:hAnsi="仿宋" w:eastAsia="仿宋" w:cs="仿宋"/>
          <w:color w:val="000000" w:themeColor="text1"/>
          <w:sz w:val="32"/>
          <w:szCs w:val="32"/>
          <w:u w:val="none"/>
          <w14:textFill>
            <w14:solidFill>
              <w14:schemeClr w14:val="tx1"/>
            </w14:solidFill>
          </w14:textFill>
        </w:rPr>
        <w:t>要建立信息共享机制，及时共享房地产经纪机构及分支机构注册登记和备案登记信息。通过“双随机、一公开”、重点监管、信用监管等多种方式，对房地产从业主体经营行为进行动态巡查，依法查处违法违规行为，保障购房人合法权益。</w:t>
      </w:r>
      <w:r>
        <w:rPr>
          <w:rFonts w:hint="eastAsia" w:ascii="仿宋" w:hAnsi="仿宋" w:eastAsia="仿宋" w:cs="仿宋"/>
          <w:b/>
          <w:bCs w:val="0"/>
          <w:color w:val="000000" w:themeColor="text1"/>
          <w:sz w:val="32"/>
          <w:szCs w:val="32"/>
          <w:u w:val="none"/>
          <w14:textFill>
            <w14:solidFill>
              <w14:schemeClr w14:val="tx1"/>
            </w14:solidFill>
          </w14:textFill>
        </w:rPr>
        <w:t>（责任单位：县住建局、县市监局）</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本文件政策措施除有明确执行期限的，其他政策措施自发布之日起执行。</w:t>
      </w:r>
      <w:r>
        <w:rPr>
          <w:rFonts w:hint="eastAsia" w:ascii="仿宋" w:hAnsi="仿宋" w:eastAsia="仿宋" w:cs="仿宋"/>
          <w:color w:val="000000" w:themeColor="text1"/>
          <w:sz w:val="32"/>
          <w:szCs w:val="32"/>
          <w:u w:val="none"/>
          <w:lang w:val="en-US" w:eastAsia="zh-CN"/>
          <w14:textFill>
            <w14:solidFill>
              <w14:schemeClr w14:val="tx1"/>
            </w14:solidFill>
          </w14:textFill>
        </w:rPr>
        <w:t>如遇国家和上级政策调整，以国家和上级政策文件为准。</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ascii="仿宋" w:hAnsi="仿宋" w:eastAsia="仿宋" w:cs="仿宋"/>
          <w:color w:val="000000" w:themeColor="text1"/>
          <w:sz w:val="32"/>
          <w:szCs w:val="32"/>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textAlignment w:val="auto"/>
        <w:rPr>
          <w:color w:val="000000" w:themeColor="text1"/>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600" w:lineRule="exact"/>
        <w:ind w:left="0" w:leftChars="0"/>
        <w:textAlignment w:val="auto"/>
        <w:rPr>
          <w:color w:val="000000" w:themeColor="text1"/>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textAlignment w:val="auto"/>
        <w:rPr>
          <w:color w:val="000000" w:themeColor="text1"/>
          <w:u w:val="none"/>
          <w14:textFill>
            <w14:solidFill>
              <w14:schemeClr w14:val="tx1"/>
            </w14:solidFill>
          </w14:textFill>
        </w:rPr>
      </w:pPr>
    </w:p>
    <w:p>
      <w:pPr>
        <w:pStyle w:val="12"/>
        <w:ind w:left="0" w:leftChars="0" w:firstLine="0" w:firstLineChars="0"/>
        <w:rPr>
          <w:color w:val="000000" w:themeColor="text1"/>
          <w:u w:val="none"/>
          <w14:textFill>
            <w14:solidFill>
              <w14:schemeClr w14:val="tx1"/>
            </w14:solidFill>
          </w14:textFill>
        </w:rPr>
      </w:pPr>
    </w:p>
    <w:p>
      <w:pPr>
        <w:pStyle w:val="12"/>
        <w:ind w:left="0" w:leftChars="0" w:firstLine="0" w:firstLineChars="0"/>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720" w:num="1"/>
          <w:docGrid w:type="lines" w:linePitch="312" w:charSpace="0"/>
        </w:sectPr>
      </w:pPr>
    </w:p>
    <w:p>
      <w:pPr>
        <w:pStyle w:val="2"/>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sectPr>
          <w:footerReference r:id="rId9" w:type="default"/>
          <w:pgSz w:w="11906" w:h="16838"/>
          <w:pgMar w:top="2098" w:right="1474" w:bottom="1984" w:left="1587" w:header="851" w:footer="992" w:gutter="0"/>
          <w:pgNumType w:fmt="numberInDash"/>
          <w:cols w:space="720" w:num="1"/>
          <w:docGrid w:type="lines" w:linePitch="312" w:charSpace="0"/>
        </w:sectPr>
      </w:pPr>
    </w:p>
    <w:p>
      <w:pPr>
        <w:pStyle w:val="2"/>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color w:val="000000" w:themeColor="text1"/>
          <w:spacing w:val="0"/>
          <w:u w:val="none"/>
          <w14:textFill>
            <w14:solidFill>
              <w14:schemeClr w14:val="tx1"/>
            </w14:solidFill>
          </w14:textFill>
        </w:rPr>
      </w:pPr>
    </w:p>
    <w:p>
      <w:pPr>
        <w:pStyle w:val="2"/>
        <w:rPr>
          <w:color w:val="000000" w:themeColor="text1"/>
          <w:spacing w:val="0"/>
          <w:u w:val="none"/>
          <w14:textFill>
            <w14:solidFill>
              <w14:schemeClr w14:val="tx1"/>
            </w14:solidFill>
          </w14:textFill>
        </w:rPr>
      </w:pPr>
    </w:p>
    <w:p>
      <w:pPr>
        <w:rPr>
          <w:rFonts w:hint="eastAsia" w:ascii="仿宋" w:hAnsi="仿宋" w:eastAsia="仿宋" w:cs="仿宋"/>
          <w:color w:val="000000" w:themeColor="text1"/>
          <w:spacing w:val="0"/>
          <w:sz w:val="28"/>
          <w:szCs w:val="28"/>
          <w:u w:val="none"/>
          <w14:textFill>
            <w14:solidFill>
              <w14:schemeClr w14:val="tx1"/>
            </w14:solidFill>
          </w14:textFill>
        </w:rPr>
      </w:pPr>
    </w:p>
    <w:p>
      <w:pPr>
        <w:pStyle w:val="2"/>
        <w:pBdr>
          <w:bottom w:val="none" w:color="auto" w:sz="0" w:space="0"/>
        </w:pBdr>
        <w:rPr>
          <w:rFonts w:hint="eastAsia" w:ascii="仿宋" w:hAnsi="仿宋" w:eastAsia="仿宋" w:cs="仿宋"/>
          <w:color w:val="000000" w:themeColor="text1"/>
          <w:spacing w:val="0"/>
          <w:sz w:val="28"/>
          <w:szCs w:val="28"/>
          <w:u w:val="none"/>
          <w14:textFill>
            <w14:solidFill>
              <w14:schemeClr w14:val="tx1"/>
            </w14:solidFill>
          </w14:textFill>
        </w:rPr>
      </w:pPr>
    </w:p>
    <w:p>
      <w:pPr>
        <w:pStyle w:val="2"/>
        <w:pBdr>
          <w:top w:val="single" w:color="auto" w:sz="4" w:space="0"/>
          <w:bottom w:val="single" w:color="auto" w:sz="4" w:space="0"/>
        </w:pBdr>
        <w:ind w:firstLine="280" w:firstLineChars="100"/>
        <w:rPr>
          <w:rFonts w:hint="eastAsia" w:ascii="仿宋" w:hAnsi="仿宋" w:eastAsia="仿宋" w:cs="仿宋"/>
          <w:sz w:val="28"/>
          <w:szCs w:val="28"/>
          <w:lang w:val="en-US" w:eastAsia="zh-CN"/>
        </w:rPr>
      </w:pPr>
      <w:r>
        <w:rPr>
          <w:rFonts w:hint="eastAsia" w:ascii="仿宋" w:hAnsi="仿宋" w:eastAsia="仿宋" w:cs="仿宋"/>
          <w:color w:val="000000" w:themeColor="text1"/>
          <w:spacing w:val="0"/>
          <w:sz w:val="28"/>
          <w:szCs w:val="28"/>
          <w:u w:val="none"/>
          <w:lang w:eastAsia="zh-CN"/>
          <w14:textFill>
            <w14:solidFill>
              <w14:schemeClr w14:val="tx1"/>
            </w14:solidFill>
          </w14:textFill>
        </w:rPr>
        <w:t>德安县人民政府办公室</w:t>
      </w:r>
      <w:r>
        <w:rPr>
          <w:rFonts w:hint="eastAsia" w:ascii="仿宋" w:hAnsi="仿宋" w:eastAsia="仿宋" w:cs="仿宋"/>
          <w:color w:val="000000" w:themeColor="text1"/>
          <w:spacing w:val="0"/>
          <w:sz w:val="28"/>
          <w:szCs w:val="28"/>
          <w:u w:val="none"/>
          <w:lang w:val="en-US" w:eastAsia="zh-CN"/>
          <w14:textFill>
            <w14:solidFill>
              <w14:schemeClr w14:val="tx1"/>
            </w14:solidFill>
          </w14:textFill>
        </w:rPr>
        <w:t xml:space="preserve">                    2023年12月5日印发</w:t>
      </w:r>
    </w:p>
    <w:sectPr>
      <w:footerReference r:id="rId10"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ODFkY2YyMTRkNjZlNDdjODNiNjNhZGQ4ODliOTUifQ=="/>
  </w:docVars>
  <w:rsids>
    <w:rsidRoot w:val="00E70965"/>
    <w:rsid w:val="00044EF2"/>
    <w:rsid w:val="0012289A"/>
    <w:rsid w:val="001C6389"/>
    <w:rsid w:val="003F23CE"/>
    <w:rsid w:val="00453775"/>
    <w:rsid w:val="0066168D"/>
    <w:rsid w:val="007D7F5D"/>
    <w:rsid w:val="008165F0"/>
    <w:rsid w:val="008F5993"/>
    <w:rsid w:val="009444C8"/>
    <w:rsid w:val="00962A1B"/>
    <w:rsid w:val="00BC757B"/>
    <w:rsid w:val="00E70965"/>
    <w:rsid w:val="00F40205"/>
    <w:rsid w:val="00F716E9"/>
    <w:rsid w:val="00FF56BA"/>
    <w:rsid w:val="010A65EE"/>
    <w:rsid w:val="010B405F"/>
    <w:rsid w:val="01115B19"/>
    <w:rsid w:val="01217D86"/>
    <w:rsid w:val="013C048E"/>
    <w:rsid w:val="01487061"/>
    <w:rsid w:val="015942D8"/>
    <w:rsid w:val="01697C6D"/>
    <w:rsid w:val="017460A8"/>
    <w:rsid w:val="018A1427"/>
    <w:rsid w:val="01910A08"/>
    <w:rsid w:val="01A71FD9"/>
    <w:rsid w:val="01AE15BA"/>
    <w:rsid w:val="01BB7833"/>
    <w:rsid w:val="01BC2624"/>
    <w:rsid w:val="01C26E13"/>
    <w:rsid w:val="01C73C8F"/>
    <w:rsid w:val="01CA3F1A"/>
    <w:rsid w:val="01FB40D3"/>
    <w:rsid w:val="02105DD0"/>
    <w:rsid w:val="02315D47"/>
    <w:rsid w:val="02445A7A"/>
    <w:rsid w:val="02C40969"/>
    <w:rsid w:val="02C679DF"/>
    <w:rsid w:val="02DC5A07"/>
    <w:rsid w:val="02E334E5"/>
    <w:rsid w:val="03100052"/>
    <w:rsid w:val="03165668"/>
    <w:rsid w:val="032633D2"/>
    <w:rsid w:val="03343D40"/>
    <w:rsid w:val="036363D4"/>
    <w:rsid w:val="0365214C"/>
    <w:rsid w:val="036F67A3"/>
    <w:rsid w:val="03887BE8"/>
    <w:rsid w:val="03B629A7"/>
    <w:rsid w:val="03C2134C"/>
    <w:rsid w:val="03D96696"/>
    <w:rsid w:val="03DE3CAC"/>
    <w:rsid w:val="03E80544"/>
    <w:rsid w:val="03EC0177"/>
    <w:rsid w:val="03FE7EAB"/>
    <w:rsid w:val="0459259D"/>
    <w:rsid w:val="045A77D7"/>
    <w:rsid w:val="049D3B67"/>
    <w:rsid w:val="04B62533"/>
    <w:rsid w:val="04D1143D"/>
    <w:rsid w:val="04ED064B"/>
    <w:rsid w:val="04F82B4C"/>
    <w:rsid w:val="05080EB6"/>
    <w:rsid w:val="050D012D"/>
    <w:rsid w:val="05123C0E"/>
    <w:rsid w:val="051A6F66"/>
    <w:rsid w:val="053E4A03"/>
    <w:rsid w:val="05500BDA"/>
    <w:rsid w:val="05523ED3"/>
    <w:rsid w:val="05551D4C"/>
    <w:rsid w:val="05575AC4"/>
    <w:rsid w:val="05685F23"/>
    <w:rsid w:val="05726DA2"/>
    <w:rsid w:val="057B7A05"/>
    <w:rsid w:val="05DA343D"/>
    <w:rsid w:val="060D2627"/>
    <w:rsid w:val="06190FCC"/>
    <w:rsid w:val="064249C6"/>
    <w:rsid w:val="06451DC1"/>
    <w:rsid w:val="066E1317"/>
    <w:rsid w:val="067508F8"/>
    <w:rsid w:val="06930D7E"/>
    <w:rsid w:val="06EC66E0"/>
    <w:rsid w:val="070175E5"/>
    <w:rsid w:val="070B125C"/>
    <w:rsid w:val="07106873"/>
    <w:rsid w:val="072A7934"/>
    <w:rsid w:val="0757624F"/>
    <w:rsid w:val="075C5614"/>
    <w:rsid w:val="07634BF4"/>
    <w:rsid w:val="077566D6"/>
    <w:rsid w:val="078132CC"/>
    <w:rsid w:val="079E5C2C"/>
    <w:rsid w:val="07CC1890"/>
    <w:rsid w:val="07D23B28"/>
    <w:rsid w:val="08283748"/>
    <w:rsid w:val="084D31AF"/>
    <w:rsid w:val="08593920"/>
    <w:rsid w:val="086329D2"/>
    <w:rsid w:val="08784C41"/>
    <w:rsid w:val="087D7F38"/>
    <w:rsid w:val="08A1247A"/>
    <w:rsid w:val="08AE6343"/>
    <w:rsid w:val="08DD4532"/>
    <w:rsid w:val="08F55D20"/>
    <w:rsid w:val="090715AF"/>
    <w:rsid w:val="091A7535"/>
    <w:rsid w:val="09211844"/>
    <w:rsid w:val="093700E7"/>
    <w:rsid w:val="09664528"/>
    <w:rsid w:val="097F1A8E"/>
    <w:rsid w:val="098B21E0"/>
    <w:rsid w:val="09B90AFC"/>
    <w:rsid w:val="09CB6A81"/>
    <w:rsid w:val="09CD27F9"/>
    <w:rsid w:val="09EB0ED1"/>
    <w:rsid w:val="0A043E81"/>
    <w:rsid w:val="0A0C04D1"/>
    <w:rsid w:val="0A0C6A56"/>
    <w:rsid w:val="0A20770B"/>
    <w:rsid w:val="0A432ABB"/>
    <w:rsid w:val="0A762E91"/>
    <w:rsid w:val="0A79028B"/>
    <w:rsid w:val="0A911A78"/>
    <w:rsid w:val="0A9357F1"/>
    <w:rsid w:val="0A96708F"/>
    <w:rsid w:val="0A9F4195"/>
    <w:rsid w:val="0AB570F6"/>
    <w:rsid w:val="0AD025A1"/>
    <w:rsid w:val="0AEA2F37"/>
    <w:rsid w:val="0B2E72C7"/>
    <w:rsid w:val="0B6251C3"/>
    <w:rsid w:val="0B680A2B"/>
    <w:rsid w:val="0B891602"/>
    <w:rsid w:val="0BA457DB"/>
    <w:rsid w:val="0BAD643E"/>
    <w:rsid w:val="0BB76901"/>
    <w:rsid w:val="0BB772BD"/>
    <w:rsid w:val="0BB96130"/>
    <w:rsid w:val="0BC814CA"/>
    <w:rsid w:val="0BFC5617"/>
    <w:rsid w:val="0C0A3890"/>
    <w:rsid w:val="0C0A7D34"/>
    <w:rsid w:val="0C1741FF"/>
    <w:rsid w:val="0C1E733C"/>
    <w:rsid w:val="0C2D57D1"/>
    <w:rsid w:val="0C357005"/>
    <w:rsid w:val="0C41127C"/>
    <w:rsid w:val="0C4A6383"/>
    <w:rsid w:val="0CB11F5E"/>
    <w:rsid w:val="0CB47797"/>
    <w:rsid w:val="0CB63329"/>
    <w:rsid w:val="0CB82EB5"/>
    <w:rsid w:val="0CB952B6"/>
    <w:rsid w:val="0CD67C16"/>
    <w:rsid w:val="0CE916F8"/>
    <w:rsid w:val="0CF307C8"/>
    <w:rsid w:val="0D4A6A1B"/>
    <w:rsid w:val="0D532C44"/>
    <w:rsid w:val="0D6671EC"/>
    <w:rsid w:val="0D690A8B"/>
    <w:rsid w:val="0D7C256C"/>
    <w:rsid w:val="0DB735A4"/>
    <w:rsid w:val="0DC13D2C"/>
    <w:rsid w:val="0DC34AA9"/>
    <w:rsid w:val="0DDA54E4"/>
    <w:rsid w:val="0DF77E44"/>
    <w:rsid w:val="0DFE11D3"/>
    <w:rsid w:val="0E2B5D40"/>
    <w:rsid w:val="0E460DCC"/>
    <w:rsid w:val="0E511C4A"/>
    <w:rsid w:val="0E5928AD"/>
    <w:rsid w:val="0E8C7D94"/>
    <w:rsid w:val="0E9E654C"/>
    <w:rsid w:val="0EA224A6"/>
    <w:rsid w:val="0EF600FC"/>
    <w:rsid w:val="0EF80318"/>
    <w:rsid w:val="0F182768"/>
    <w:rsid w:val="0F29227F"/>
    <w:rsid w:val="0F36499C"/>
    <w:rsid w:val="0F79706D"/>
    <w:rsid w:val="0FA3149F"/>
    <w:rsid w:val="0FB12275"/>
    <w:rsid w:val="0FC63F72"/>
    <w:rsid w:val="0FCF6AA6"/>
    <w:rsid w:val="0FDF6DE2"/>
    <w:rsid w:val="0FEC4D34"/>
    <w:rsid w:val="10321463"/>
    <w:rsid w:val="1054157E"/>
    <w:rsid w:val="10C5422A"/>
    <w:rsid w:val="10CC2603"/>
    <w:rsid w:val="10CF32FA"/>
    <w:rsid w:val="10E70644"/>
    <w:rsid w:val="10EE19D3"/>
    <w:rsid w:val="11032FA4"/>
    <w:rsid w:val="111B1086"/>
    <w:rsid w:val="1136030B"/>
    <w:rsid w:val="114710E3"/>
    <w:rsid w:val="11583847"/>
    <w:rsid w:val="1191235E"/>
    <w:rsid w:val="11921263"/>
    <w:rsid w:val="11AD363C"/>
    <w:rsid w:val="11BA3663"/>
    <w:rsid w:val="11BF6ECB"/>
    <w:rsid w:val="11D64215"/>
    <w:rsid w:val="122431D2"/>
    <w:rsid w:val="12505D75"/>
    <w:rsid w:val="12604533"/>
    <w:rsid w:val="126D6927"/>
    <w:rsid w:val="1272218F"/>
    <w:rsid w:val="1292638E"/>
    <w:rsid w:val="12C4449F"/>
    <w:rsid w:val="12D76496"/>
    <w:rsid w:val="12E623FB"/>
    <w:rsid w:val="12F31522"/>
    <w:rsid w:val="12FE1C75"/>
    <w:rsid w:val="13072C39"/>
    <w:rsid w:val="13233FFF"/>
    <w:rsid w:val="13637D2A"/>
    <w:rsid w:val="13693592"/>
    <w:rsid w:val="13767A5D"/>
    <w:rsid w:val="139D4FEA"/>
    <w:rsid w:val="13B30CB1"/>
    <w:rsid w:val="13BC70A7"/>
    <w:rsid w:val="13C54541"/>
    <w:rsid w:val="13DD188A"/>
    <w:rsid w:val="1418543A"/>
    <w:rsid w:val="144638D4"/>
    <w:rsid w:val="144C07BE"/>
    <w:rsid w:val="14733F9D"/>
    <w:rsid w:val="147541B9"/>
    <w:rsid w:val="147765C9"/>
    <w:rsid w:val="147C5547"/>
    <w:rsid w:val="147E696E"/>
    <w:rsid w:val="1485438E"/>
    <w:rsid w:val="149C34F4"/>
    <w:rsid w:val="14A95C11"/>
    <w:rsid w:val="14B7657F"/>
    <w:rsid w:val="14C52A4A"/>
    <w:rsid w:val="14D25821"/>
    <w:rsid w:val="14DF02B9"/>
    <w:rsid w:val="1501022B"/>
    <w:rsid w:val="15741ADA"/>
    <w:rsid w:val="15865CC1"/>
    <w:rsid w:val="15914735"/>
    <w:rsid w:val="15A5287C"/>
    <w:rsid w:val="15BF56EC"/>
    <w:rsid w:val="15C947BC"/>
    <w:rsid w:val="15DF7B3C"/>
    <w:rsid w:val="15FB249C"/>
    <w:rsid w:val="1603447F"/>
    <w:rsid w:val="16287735"/>
    <w:rsid w:val="163E2AD9"/>
    <w:rsid w:val="16465E0D"/>
    <w:rsid w:val="16490010"/>
    <w:rsid w:val="166141C0"/>
    <w:rsid w:val="16665088"/>
    <w:rsid w:val="16895AB9"/>
    <w:rsid w:val="169A3A63"/>
    <w:rsid w:val="16BE59A3"/>
    <w:rsid w:val="16C17241"/>
    <w:rsid w:val="16F05D79"/>
    <w:rsid w:val="172A4DE7"/>
    <w:rsid w:val="17306175"/>
    <w:rsid w:val="174E0473"/>
    <w:rsid w:val="17562080"/>
    <w:rsid w:val="1767603B"/>
    <w:rsid w:val="1776627E"/>
    <w:rsid w:val="177B7D38"/>
    <w:rsid w:val="17852965"/>
    <w:rsid w:val="17982698"/>
    <w:rsid w:val="179E57D5"/>
    <w:rsid w:val="17D27C90"/>
    <w:rsid w:val="17DB4333"/>
    <w:rsid w:val="17F13B56"/>
    <w:rsid w:val="180A4C18"/>
    <w:rsid w:val="18117D55"/>
    <w:rsid w:val="18185587"/>
    <w:rsid w:val="183D4FEE"/>
    <w:rsid w:val="18987172"/>
    <w:rsid w:val="18A94431"/>
    <w:rsid w:val="18E46D74"/>
    <w:rsid w:val="19137FB0"/>
    <w:rsid w:val="19265496"/>
    <w:rsid w:val="1936112E"/>
    <w:rsid w:val="195E6FCA"/>
    <w:rsid w:val="198729C4"/>
    <w:rsid w:val="199944A6"/>
    <w:rsid w:val="19B906A4"/>
    <w:rsid w:val="19DE635C"/>
    <w:rsid w:val="19E5593D"/>
    <w:rsid w:val="19F94F44"/>
    <w:rsid w:val="1A02204B"/>
    <w:rsid w:val="1A404921"/>
    <w:rsid w:val="1A432BCF"/>
    <w:rsid w:val="1A530AF8"/>
    <w:rsid w:val="1A55661F"/>
    <w:rsid w:val="1A7C7950"/>
    <w:rsid w:val="1A882AFB"/>
    <w:rsid w:val="1A9C424D"/>
    <w:rsid w:val="1AE856E5"/>
    <w:rsid w:val="1B316012"/>
    <w:rsid w:val="1B447488"/>
    <w:rsid w:val="1B4641B9"/>
    <w:rsid w:val="1B55264E"/>
    <w:rsid w:val="1B574618"/>
    <w:rsid w:val="1BBC15FC"/>
    <w:rsid w:val="1BD712B5"/>
    <w:rsid w:val="1BF42BCC"/>
    <w:rsid w:val="1C24274C"/>
    <w:rsid w:val="1C3F7586"/>
    <w:rsid w:val="1C784846"/>
    <w:rsid w:val="1C7A0F4E"/>
    <w:rsid w:val="1C7F7983"/>
    <w:rsid w:val="1C8036FB"/>
    <w:rsid w:val="1CAC44F0"/>
    <w:rsid w:val="1CD35F20"/>
    <w:rsid w:val="1CFE11EF"/>
    <w:rsid w:val="1D181B85"/>
    <w:rsid w:val="1D214EDE"/>
    <w:rsid w:val="1D547061"/>
    <w:rsid w:val="1D6F3E9B"/>
    <w:rsid w:val="1D7E5E8C"/>
    <w:rsid w:val="1DD41F50"/>
    <w:rsid w:val="1DF73EC2"/>
    <w:rsid w:val="1E01086B"/>
    <w:rsid w:val="1E320A25"/>
    <w:rsid w:val="1E3D7AF5"/>
    <w:rsid w:val="1E605592"/>
    <w:rsid w:val="1E7159F1"/>
    <w:rsid w:val="1E751D37"/>
    <w:rsid w:val="1EBD29E4"/>
    <w:rsid w:val="1EDF295B"/>
    <w:rsid w:val="1F1D3483"/>
    <w:rsid w:val="1F1F544D"/>
    <w:rsid w:val="1F42113B"/>
    <w:rsid w:val="1FA63478"/>
    <w:rsid w:val="1FAB4F33"/>
    <w:rsid w:val="1FAF702E"/>
    <w:rsid w:val="1FE346CD"/>
    <w:rsid w:val="1FED72F9"/>
    <w:rsid w:val="201C7BDE"/>
    <w:rsid w:val="20270A5D"/>
    <w:rsid w:val="204D0869"/>
    <w:rsid w:val="20515ADA"/>
    <w:rsid w:val="20597EB3"/>
    <w:rsid w:val="20651585"/>
    <w:rsid w:val="207F330F"/>
    <w:rsid w:val="209E05F3"/>
    <w:rsid w:val="20B971DB"/>
    <w:rsid w:val="20DD111C"/>
    <w:rsid w:val="21004E0A"/>
    <w:rsid w:val="212D7ADB"/>
    <w:rsid w:val="212E5E1B"/>
    <w:rsid w:val="213D1BBA"/>
    <w:rsid w:val="21415B4F"/>
    <w:rsid w:val="214E201A"/>
    <w:rsid w:val="21867A05"/>
    <w:rsid w:val="21935C7E"/>
    <w:rsid w:val="21BF4CC5"/>
    <w:rsid w:val="21D73DBD"/>
    <w:rsid w:val="21DA38AD"/>
    <w:rsid w:val="221253AD"/>
    <w:rsid w:val="222075E8"/>
    <w:rsid w:val="22240B16"/>
    <w:rsid w:val="223E0997"/>
    <w:rsid w:val="22465E64"/>
    <w:rsid w:val="225C42C2"/>
    <w:rsid w:val="229C0B63"/>
    <w:rsid w:val="229E0D7F"/>
    <w:rsid w:val="22BD7457"/>
    <w:rsid w:val="22CA3922"/>
    <w:rsid w:val="22E34D3F"/>
    <w:rsid w:val="231132FF"/>
    <w:rsid w:val="23250B58"/>
    <w:rsid w:val="23503E27"/>
    <w:rsid w:val="23566F63"/>
    <w:rsid w:val="23971A56"/>
    <w:rsid w:val="23AE7377"/>
    <w:rsid w:val="23D83E1C"/>
    <w:rsid w:val="240F3CE2"/>
    <w:rsid w:val="24305A06"/>
    <w:rsid w:val="24382CF1"/>
    <w:rsid w:val="2443398C"/>
    <w:rsid w:val="244A4D1A"/>
    <w:rsid w:val="2466767A"/>
    <w:rsid w:val="24A84FA7"/>
    <w:rsid w:val="24FD7FDE"/>
    <w:rsid w:val="250D0C97"/>
    <w:rsid w:val="25205A7B"/>
    <w:rsid w:val="2521443C"/>
    <w:rsid w:val="25665B84"/>
    <w:rsid w:val="258E6E89"/>
    <w:rsid w:val="25AB3597"/>
    <w:rsid w:val="25C24D84"/>
    <w:rsid w:val="25E76599"/>
    <w:rsid w:val="25F0544D"/>
    <w:rsid w:val="26086C3B"/>
    <w:rsid w:val="26103D41"/>
    <w:rsid w:val="26211AAB"/>
    <w:rsid w:val="265754CC"/>
    <w:rsid w:val="267267AA"/>
    <w:rsid w:val="2674607E"/>
    <w:rsid w:val="26B648E9"/>
    <w:rsid w:val="26D62895"/>
    <w:rsid w:val="26D933C3"/>
    <w:rsid w:val="26E36D60"/>
    <w:rsid w:val="26F1147D"/>
    <w:rsid w:val="26F251F5"/>
    <w:rsid w:val="26F96584"/>
    <w:rsid w:val="270F5DA7"/>
    <w:rsid w:val="271D04C4"/>
    <w:rsid w:val="272A498F"/>
    <w:rsid w:val="272C5900"/>
    <w:rsid w:val="272F01F7"/>
    <w:rsid w:val="274E7FF2"/>
    <w:rsid w:val="27624129"/>
    <w:rsid w:val="27637EA1"/>
    <w:rsid w:val="27983FEE"/>
    <w:rsid w:val="27BA3F65"/>
    <w:rsid w:val="27D260EF"/>
    <w:rsid w:val="27D56FF1"/>
    <w:rsid w:val="27EB2370"/>
    <w:rsid w:val="27EE1E60"/>
    <w:rsid w:val="27F54F9D"/>
    <w:rsid w:val="27F85D17"/>
    <w:rsid w:val="28203FEC"/>
    <w:rsid w:val="28237D5C"/>
    <w:rsid w:val="283261F1"/>
    <w:rsid w:val="285C501C"/>
    <w:rsid w:val="28655BFD"/>
    <w:rsid w:val="286B2CA4"/>
    <w:rsid w:val="288527C5"/>
    <w:rsid w:val="28964640"/>
    <w:rsid w:val="289B1FE8"/>
    <w:rsid w:val="28B72122"/>
    <w:rsid w:val="28BC5482"/>
    <w:rsid w:val="28C17575"/>
    <w:rsid w:val="28D42135"/>
    <w:rsid w:val="28DC615D"/>
    <w:rsid w:val="28DE3C83"/>
    <w:rsid w:val="290556B4"/>
    <w:rsid w:val="29345F99"/>
    <w:rsid w:val="29381AD0"/>
    <w:rsid w:val="293B7327"/>
    <w:rsid w:val="295E4DC4"/>
    <w:rsid w:val="29657F00"/>
    <w:rsid w:val="296F5223"/>
    <w:rsid w:val="298962E5"/>
    <w:rsid w:val="299A22A0"/>
    <w:rsid w:val="29C05E6C"/>
    <w:rsid w:val="29CE1F49"/>
    <w:rsid w:val="2A1A6F3D"/>
    <w:rsid w:val="2A385615"/>
    <w:rsid w:val="2A7D74CC"/>
    <w:rsid w:val="2A954815"/>
    <w:rsid w:val="2AA333D6"/>
    <w:rsid w:val="2AB432B1"/>
    <w:rsid w:val="2AB7478C"/>
    <w:rsid w:val="2AE412F9"/>
    <w:rsid w:val="2AFB4FC0"/>
    <w:rsid w:val="2B053749"/>
    <w:rsid w:val="2B4A5600"/>
    <w:rsid w:val="2B6366C1"/>
    <w:rsid w:val="2B7663F5"/>
    <w:rsid w:val="2B797C93"/>
    <w:rsid w:val="2B852ADC"/>
    <w:rsid w:val="2B8E7BE2"/>
    <w:rsid w:val="2BA016C4"/>
    <w:rsid w:val="2BA50A88"/>
    <w:rsid w:val="2BB138D1"/>
    <w:rsid w:val="2C167BD8"/>
    <w:rsid w:val="2C1A3C52"/>
    <w:rsid w:val="2C42277B"/>
    <w:rsid w:val="2C7619C3"/>
    <w:rsid w:val="2C98683F"/>
    <w:rsid w:val="2C9E3E55"/>
    <w:rsid w:val="2CBC077F"/>
    <w:rsid w:val="2CEA709A"/>
    <w:rsid w:val="2D0F6B01"/>
    <w:rsid w:val="2D265EC5"/>
    <w:rsid w:val="2D3227EF"/>
    <w:rsid w:val="2D4E267E"/>
    <w:rsid w:val="2D621327"/>
    <w:rsid w:val="2D7E5A35"/>
    <w:rsid w:val="2D8C0151"/>
    <w:rsid w:val="2DB11966"/>
    <w:rsid w:val="2DD92C6B"/>
    <w:rsid w:val="2DED6716"/>
    <w:rsid w:val="2DF33D2D"/>
    <w:rsid w:val="2DF857E7"/>
    <w:rsid w:val="2E29482B"/>
    <w:rsid w:val="2E2E3913"/>
    <w:rsid w:val="2E60513A"/>
    <w:rsid w:val="2E6A7D67"/>
    <w:rsid w:val="2E9574DA"/>
    <w:rsid w:val="2EAE2349"/>
    <w:rsid w:val="2EB01C1E"/>
    <w:rsid w:val="2ED700D5"/>
    <w:rsid w:val="2EE76944"/>
    <w:rsid w:val="2EF51D26"/>
    <w:rsid w:val="2EFC1307"/>
    <w:rsid w:val="2F106B60"/>
    <w:rsid w:val="2F34207D"/>
    <w:rsid w:val="2F3B0146"/>
    <w:rsid w:val="2F432A92"/>
    <w:rsid w:val="2F527179"/>
    <w:rsid w:val="2F633134"/>
    <w:rsid w:val="2F6D5D61"/>
    <w:rsid w:val="2FA572A9"/>
    <w:rsid w:val="2FBD30B9"/>
    <w:rsid w:val="2FFB15BE"/>
    <w:rsid w:val="2FFD5337"/>
    <w:rsid w:val="30077F63"/>
    <w:rsid w:val="30085A89"/>
    <w:rsid w:val="30226B4B"/>
    <w:rsid w:val="303F594F"/>
    <w:rsid w:val="304545E8"/>
    <w:rsid w:val="3049232A"/>
    <w:rsid w:val="305B205D"/>
    <w:rsid w:val="309612E7"/>
    <w:rsid w:val="30B17ECF"/>
    <w:rsid w:val="30CD2F5B"/>
    <w:rsid w:val="30EE2ED1"/>
    <w:rsid w:val="30FD3EEE"/>
    <w:rsid w:val="31061FC9"/>
    <w:rsid w:val="3115220C"/>
    <w:rsid w:val="31172428"/>
    <w:rsid w:val="311A3CC6"/>
    <w:rsid w:val="313F54DB"/>
    <w:rsid w:val="31552F50"/>
    <w:rsid w:val="31692558"/>
    <w:rsid w:val="317D167F"/>
    <w:rsid w:val="318A49A8"/>
    <w:rsid w:val="318F1FBE"/>
    <w:rsid w:val="31BF1575"/>
    <w:rsid w:val="31C12394"/>
    <w:rsid w:val="31C51E84"/>
    <w:rsid w:val="31CB6D6E"/>
    <w:rsid w:val="31D67BED"/>
    <w:rsid w:val="31FC517A"/>
    <w:rsid w:val="321B4A33"/>
    <w:rsid w:val="32310684"/>
    <w:rsid w:val="324E1E79"/>
    <w:rsid w:val="325154C6"/>
    <w:rsid w:val="326C67A3"/>
    <w:rsid w:val="32B85545"/>
    <w:rsid w:val="32BF4B25"/>
    <w:rsid w:val="33093FF2"/>
    <w:rsid w:val="3322398E"/>
    <w:rsid w:val="33995376"/>
    <w:rsid w:val="33A03224"/>
    <w:rsid w:val="33A1247D"/>
    <w:rsid w:val="33D53ED4"/>
    <w:rsid w:val="33F0786F"/>
    <w:rsid w:val="343C3F54"/>
    <w:rsid w:val="344969D8"/>
    <w:rsid w:val="34572B3B"/>
    <w:rsid w:val="34895B74"/>
    <w:rsid w:val="348A2F11"/>
    <w:rsid w:val="34A43FD3"/>
    <w:rsid w:val="34AC3B6D"/>
    <w:rsid w:val="34B1049E"/>
    <w:rsid w:val="34B72A2C"/>
    <w:rsid w:val="34C44675"/>
    <w:rsid w:val="34C77CC1"/>
    <w:rsid w:val="34CF0B0D"/>
    <w:rsid w:val="34DB376C"/>
    <w:rsid w:val="34DD74E5"/>
    <w:rsid w:val="35044A71"/>
    <w:rsid w:val="3509652C"/>
    <w:rsid w:val="350A1708"/>
    <w:rsid w:val="351D5B33"/>
    <w:rsid w:val="353335A8"/>
    <w:rsid w:val="353745F0"/>
    <w:rsid w:val="353E577A"/>
    <w:rsid w:val="354C0059"/>
    <w:rsid w:val="35670D6E"/>
    <w:rsid w:val="356E638F"/>
    <w:rsid w:val="35782096"/>
    <w:rsid w:val="358B6F41"/>
    <w:rsid w:val="35A3072E"/>
    <w:rsid w:val="35B5220F"/>
    <w:rsid w:val="35C6441D"/>
    <w:rsid w:val="35C8542A"/>
    <w:rsid w:val="35D703D8"/>
    <w:rsid w:val="35EE3489"/>
    <w:rsid w:val="3628478F"/>
    <w:rsid w:val="362F1FC2"/>
    <w:rsid w:val="364610BA"/>
    <w:rsid w:val="36571E80"/>
    <w:rsid w:val="36625EF3"/>
    <w:rsid w:val="367F4CF7"/>
    <w:rsid w:val="3680527C"/>
    <w:rsid w:val="369D33CF"/>
    <w:rsid w:val="36A57EF8"/>
    <w:rsid w:val="36C46BAE"/>
    <w:rsid w:val="371612B2"/>
    <w:rsid w:val="371766B4"/>
    <w:rsid w:val="37357164"/>
    <w:rsid w:val="37404DD2"/>
    <w:rsid w:val="37421881"/>
    <w:rsid w:val="37515F68"/>
    <w:rsid w:val="376161AB"/>
    <w:rsid w:val="37773C20"/>
    <w:rsid w:val="37A72FB3"/>
    <w:rsid w:val="37C14E9C"/>
    <w:rsid w:val="37CD3840"/>
    <w:rsid w:val="37D56B99"/>
    <w:rsid w:val="37DE61A6"/>
    <w:rsid w:val="37E64902"/>
    <w:rsid w:val="37FE5B42"/>
    <w:rsid w:val="380A05F1"/>
    <w:rsid w:val="38202C36"/>
    <w:rsid w:val="382B0567"/>
    <w:rsid w:val="383E64EC"/>
    <w:rsid w:val="38415FDC"/>
    <w:rsid w:val="3857135C"/>
    <w:rsid w:val="38622804"/>
    <w:rsid w:val="3882287D"/>
    <w:rsid w:val="38AA06AD"/>
    <w:rsid w:val="38AC78FA"/>
    <w:rsid w:val="38E2331B"/>
    <w:rsid w:val="38E8680E"/>
    <w:rsid w:val="38FD0155"/>
    <w:rsid w:val="39007C46"/>
    <w:rsid w:val="39047736"/>
    <w:rsid w:val="39450612"/>
    <w:rsid w:val="39496958"/>
    <w:rsid w:val="39565AB7"/>
    <w:rsid w:val="3982065B"/>
    <w:rsid w:val="39866641"/>
    <w:rsid w:val="398A4394"/>
    <w:rsid w:val="398A62BD"/>
    <w:rsid w:val="398B5761"/>
    <w:rsid w:val="399D5494"/>
    <w:rsid w:val="39A131D7"/>
    <w:rsid w:val="39DA1243"/>
    <w:rsid w:val="39E921C1"/>
    <w:rsid w:val="3A0177D1"/>
    <w:rsid w:val="3A1F40FB"/>
    <w:rsid w:val="3A2B2AA0"/>
    <w:rsid w:val="3A2C2CB0"/>
    <w:rsid w:val="3A3556CD"/>
    <w:rsid w:val="3A5124B9"/>
    <w:rsid w:val="3A7B3A28"/>
    <w:rsid w:val="3A802DEC"/>
    <w:rsid w:val="3A8D72B7"/>
    <w:rsid w:val="3A993EAE"/>
    <w:rsid w:val="3AAD7959"/>
    <w:rsid w:val="3AD2116E"/>
    <w:rsid w:val="3AD924FC"/>
    <w:rsid w:val="3ADD023E"/>
    <w:rsid w:val="3AEA64B7"/>
    <w:rsid w:val="3AF92B9E"/>
    <w:rsid w:val="3B141786"/>
    <w:rsid w:val="3B196D9D"/>
    <w:rsid w:val="3B304812"/>
    <w:rsid w:val="3B401902"/>
    <w:rsid w:val="3B712735"/>
    <w:rsid w:val="3B722D63"/>
    <w:rsid w:val="3B7A783B"/>
    <w:rsid w:val="3B7B1805"/>
    <w:rsid w:val="3B7F4E52"/>
    <w:rsid w:val="3BA40D5C"/>
    <w:rsid w:val="3BB0325D"/>
    <w:rsid w:val="3BD15311"/>
    <w:rsid w:val="3BDF3B42"/>
    <w:rsid w:val="3BF21AC7"/>
    <w:rsid w:val="3BFC46F4"/>
    <w:rsid w:val="3C12216A"/>
    <w:rsid w:val="3C2123AD"/>
    <w:rsid w:val="3C885F88"/>
    <w:rsid w:val="3CA43E5C"/>
    <w:rsid w:val="3CAA23A2"/>
    <w:rsid w:val="3CD236A7"/>
    <w:rsid w:val="3CF85948"/>
    <w:rsid w:val="3CFD4BC8"/>
    <w:rsid w:val="3D05582A"/>
    <w:rsid w:val="3D0F48FB"/>
    <w:rsid w:val="3D11148F"/>
    <w:rsid w:val="3D344362"/>
    <w:rsid w:val="3D5D11C3"/>
    <w:rsid w:val="3D714C6E"/>
    <w:rsid w:val="3DA376A0"/>
    <w:rsid w:val="3DA52B6A"/>
    <w:rsid w:val="3DA70690"/>
    <w:rsid w:val="3DAF3747"/>
    <w:rsid w:val="3DD1395F"/>
    <w:rsid w:val="3DD27E02"/>
    <w:rsid w:val="3DD46CB1"/>
    <w:rsid w:val="3E014244"/>
    <w:rsid w:val="3E03731D"/>
    <w:rsid w:val="3E1D44AE"/>
    <w:rsid w:val="3E32264F"/>
    <w:rsid w:val="3E3A7756"/>
    <w:rsid w:val="3E6122AE"/>
    <w:rsid w:val="3E7E7642"/>
    <w:rsid w:val="3E8409D1"/>
    <w:rsid w:val="3E8D5AD7"/>
    <w:rsid w:val="3E9F5E5D"/>
    <w:rsid w:val="3EB94B1E"/>
    <w:rsid w:val="3EBB416B"/>
    <w:rsid w:val="3EC62D97"/>
    <w:rsid w:val="3EC84D62"/>
    <w:rsid w:val="3ED83A86"/>
    <w:rsid w:val="3F0264C5"/>
    <w:rsid w:val="3F2F3033"/>
    <w:rsid w:val="3F4563B2"/>
    <w:rsid w:val="3F5C54AA"/>
    <w:rsid w:val="3F6C393F"/>
    <w:rsid w:val="3F7E3614"/>
    <w:rsid w:val="3FB86B84"/>
    <w:rsid w:val="3FBB0422"/>
    <w:rsid w:val="3FDD1A55"/>
    <w:rsid w:val="3FDE7C1E"/>
    <w:rsid w:val="3FF51B86"/>
    <w:rsid w:val="400C6ED0"/>
    <w:rsid w:val="402B55A8"/>
    <w:rsid w:val="408353E4"/>
    <w:rsid w:val="409C64A6"/>
    <w:rsid w:val="40A92971"/>
    <w:rsid w:val="40DA0D7C"/>
    <w:rsid w:val="410302D3"/>
    <w:rsid w:val="4114030B"/>
    <w:rsid w:val="41210759"/>
    <w:rsid w:val="41252429"/>
    <w:rsid w:val="41263FC1"/>
    <w:rsid w:val="41281AE7"/>
    <w:rsid w:val="41362456"/>
    <w:rsid w:val="41452699"/>
    <w:rsid w:val="414F5B07"/>
    <w:rsid w:val="417E204F"/>
    <w:rsid w:val="41913B31"/>
    <w:rsid w:val="419172C5"/>
    <w:rsid w:val="41931657"/>
    <w:rsid w:val="41943621"/>
    <w:rsid w:val="41DE08EE"/>
    <w:rsid w:val="42732927"/>
    <w:rsid w:val="42903DE8"/>
    <w:rsid w:val="42980EEF"/>
    <w:rsid w:val="429D02B3"/>
    <w:rsid w:val="42A72EE0"/>
    <w:rsid w:val="42B555FD"/>
    <w:rsid w:val="42C24431"/>
    <w:rsid w:val="42C3235B"/>
    <w:rsid w:val="42C43A92"/>
    <w:rsid w:val="42D75573"/>
    <w:rsid w:val="431C742A"/>
    <w:rsid w:val="432602A9"/>
    <w:rsid w:val="433C5D1E"/>
    <w:rsid w:val="436D237B"/>
    <w:rsid w:val="43785572"/>
    <w:rsid w:val="43896859"/>
    <w:rsid w:val="438D0328"/>
    <w:rsid w:val="439671DC"/>
    <w:rsid w:val="43B65AD0"/>
    <w:rsid w:val="43C31F9B"/>
    <w:rsid w:val="43C55D14"/>
    <w:rsid w:val="43C875B2"/>
    <w:rsid w:val="43EE22B5"/>
    <w:rsid w:val="43EF2D90"/>
    <w:rsid w:val="44093E52"/>
    <w:rsid w:val="440C56F0"/>
    <w:rsid w:val="44223166"/>
    <w:rsid w:val="44226CC2"/>
    <w:rsid w:val="4473751E"/>
    <w:rsid w:val="447B4624"/>
    <w:rsid w:val="448654A3"/>
    <w:rsid w:val="44901E7E"/>
    <w:rsid w:val="44986F84"/>
    <w:rsid w:val="44B7783B"/>
    <w:rsid w:val="44C4421D"/>
    <w:rsid w:val="44D83825"/>
    <w:rsid w:val="44DC50C3"/>
    <w:rsid w:val="44E977E0"/>
    <w:rsid w:val="453C2005"/>
    <w:rsid w:val="456652D4"/>
    <w:rsid w:val="457B0D80"/>
    <w:rsid w:val="45905EAD"/>
    <w:rsid w:val="459B31D0"/>
    <w:rsid w:val="45C53DA9"/>
    <w:rsid w:val="45CD4F28"/>
    <w:rsid w:val="45DB181E"/>
    <w:rsid w:val="45EC3A2B"/>
    <w:rsid w:val="46106D32"/>
    <w:rsid w:val="46186967"/>
    <w:rsid w:val="46205483"/>
    <w:rsid w:val="46236D21"/>
    <w:rsid w:val="462F56C6"/>
    <w:rsid w:val="46317690"/>
    <w:rsid w:val="463D3FE4"/>
    <w:rsid w:val="463D4287"/>
    <w:rsid w:val="4642364B"/>
    <w:rsid w:val="465A0995"/>
    <w:rsid w:val="465D0485"/>
    <w:rsid w:val="468477C0"/>
    <w:rsid w:val="469F45FA"/>
    <w:rsid w:val="46B55F61"/>
    <w:rsid w:val="46C10A14"/>
    <w:rsid w:val="46DA7D28"/>
    <w:rsid w:val="46E91D19"/>
    <w:rsid w:val="46FA2178"/>
    <w:rsid w:val="46FC37FA"/>
    <w:rsid w:val="47017063"/>
    <w:rsid w:val="470313CE"/>
    <w:rsid w:val="47044DA5"/>
    <w:rsid w:val="471072A6"/>
    <w:rsid w:val="473D3E13"/>
    <w:rsid w:val="475950F1"/>
    <w:rsid w:val="47855EE6"/>
    <w:rsid w:val="478631A6"/>
    <w:rsid w:val="47B2035D"/>
    <w:rsid w:val="47D93B3C"/>
    <w:rsid w:val="47E26E94"/>
    <w:rsid w:val="47F60B91"/>
    <w:rsid w:val="47F6293F"/>
    <w:rsid w:val="48036E0A"/>
    <w:rsid w:val="48233009"/>
    <w:rsid w:val="486B641F"/>
    <w:rsid w:val="486C49B0"/>
    <w:rsid w:val="48743864"/>
    <w:rsid w:val="4876582E"/>
    <w:rsid w:val="48C26CC5"/>
    <w:rsid w:val="48E71D89"/>
    <w:rsid w:val="48F36E7F"/>
    <w:rsid w:val="490966A2"/>
    <w:rsid w:val="492D2391"/>
    <w:rsid w:val="49366D6C"/>
    <w:rsid w:val="49494CF1"/>
    <w:rsid w:val="4970227E"/>
    <w:rsid w:val="49865F45"/>
    <w:rsid w:val="498875C7"/>
    <w:rsid w:val="4993432C"/>
    <w:rsid w:val="49A168DB"/>
    <w:rsid w:val="49D62A28"/>
    <w:rsid w:val="4A01737A"/>
    <w:rsid w:val="4A190B67"/>
    <w:rsid w:val="4A1E1CDA"/>
    <w:rsid w:val="4A5D4EF8"/>
    <w:rsid w:val="4A8561FD"/>
    <w:rsid w:val="4AA85A47"/>
    <w:rsid w:val="4AB07BDE"/>
    <w:rsid w:val="4AB66F0D"/>
    <w:rsid w:val="4ACC05C3"/>
    <w:rsid w:val="4AD14F9E"/>
    <w:rsid w:val="4B1530DD"/>
    <w:rsid w:val="4B3C2D5F"/>
    <w:rsid w:val="4B885FA4"/>
    <w:rsid w:val="4B8D7117"/>
    <w:rsid w:val="4B944949"/>
    <w:rsid w:val="4BEF412A"/>
    <w:rsid w:val="4C017B05"/>
    <w:rsid w:val="4C043151"/>
    <w:rsid w:val="4C211C2E"/>
    <w:rsid w:val="4C39104D"/>
    <w:rsid w:val="4C9E35A6"/>
    <w:rsid w:val="4CA607C5"/>
    <w:rsid w:val="4CE70AA9"/>
    <w:rsid w:val="4CEC4311"/>
    <w:rsid w:val="4D2717ED"/>
    <w:rsid w:val="4D2E492A"/>
    <w:rsid w:val="4D3006A2"/>
    <w:rsid w:val="4D312B79"/>
    <w:rsid w:val="4D4E28D6"/>
    <w:rsid w:val="4D754306"/>
    <w:rsid w:val="4D7F6F33"/>
    <w:rsid w:val="4D8E53C8"/>
    <w:rsid w:val="4DAB1AD6"/>
    <w:rsid w:val="4DC96400"/>
    <w:rsid w:val="4E4168DE"/>
    <w:rsid w:val="4E604FB7"/>
    <w:rsid w:val="4E612ADD"/>
    <w:rsid w:val="4E6A3C9A"/>
    <w:rsid w:val="4E9407BC"/>
    <w:rsid w:val="4E944C60"/>
    <w:rsid w:val="4E9764FE"/>
    <w:rsid w:val="4EB138F7"/>
    <w:rsid w:val="4EC05A55"/>
    <w:rsid w:val="4EC54E1A"/>
    <w:rsid w:val="4EEF00E8"/>
    <w:rsid w:val="4EFE74CD"/>
    <w:rsid w:val="4F1638C7"/>
    <w:rsid w:val="4F245FE4"/>
    <w:rsid w:val="4F604B42"/>
    <w:rsid w:val="4FA669F9"/>
    <w:rsid w:val="4FAD422B"/>
    <w:rsid w:val="4FE17A31"/>
    <w:rsid w:val="4FEB4D54"/>
    <w:rsid w:val="4FF9121F"/>
    <w:rsid w:val="50033E4B"/>
    <w:rsid w:val="500E459E"/>
    <w:rsid w:val="503A5393"/>
    <w:rsid w:val="50552B58"/>
    <w:rsid w:val="50630D8E"/>
    <w:rsid w:val="506D7517"/>
    <w:rsid w:val="50707007"/>
    <w:rsid w:val="507408A5"/>
    <w:rsid w:val="50A545DB"/>
    <w:rsid w:val="50AB003F"/>
    <w:rsid w:val="50AC6291"/>
    <w:rsid w:val="50BC3FFA"/>
    <w:rsid w:val="510D4856"/>
    <w:rsid w:val="512978E2"/>
    <w:rsid w:val="513F7105"/>
    <w:rsid w:val="517F5754"/>
    <w:rsid w:val="51B03B5F"/>
    <w:rsid w:val="51EB140F"/>
    <w:rsid w:val="52045C59"/>
    <w:rsid w:val="520E3D8A"/>
    <w:rsid w:val="52102C06"/>
    <w:rsid w:val="522D1654"/>
    <w:rsid w:val="52473623"/>
    <w:rsid w:val="52562661"/>
    <w:rsid w:val="52564743"/>
    <w:rsid w:val="525679BC"/>
    <w:rsid w:val="52595FA5"/>
    <w:rsid w:val="52597964"/>
    <w:rsid w:val="528079D5"/>
    <w:rsid w:val="52A631B4"/>
    <w:rsid w:val="52AA4A52"/>
    <w:rsid w:val="52C553E8"/>
    <w:rsid w:val="52DB4C0C"/>
    <w:rsid w:val="52E87329"/>
    <w:rsid w:val="530C3017"/>
    <w:rsid w:val="533C16FA"/>
    <w:rsid w:val="53803A05"/>
    <w:rsid w:val="539A22DF"/>
    <w:rsid w:val="539B439B"/>
    <w:rsid w:val="53AD7BDA"/>
    <w:rsid w:val="53D55AFF"/>
    <w:rsid w:val="53D578AD"/>
    <w:rsid w:val="53D855EF"/>
    <w:rsid w:val="54A31759"/>
    <w:rsid w:val="54A67D75"/>
    <w:rsid w:val="54A867A9"/>
    <w:rsid w:val="54CF51E4"/>
    <w:rsid w:val="54D23DEC"/>
    <w:rsid w:val="54D34B61"/>
    <w:rsid w:val="54EF2BF0"/>
    <w:rsid w:val="551B39E5"/>
    <w:rsid w:val="552A59D6"/>
    <w:rsid w:val="5572737D"/>
    <w:rsid w:val="55762055"/>
    <w:rsid w:val="55AE1142"/>
    <w:rsid w:val="55C776C9"/>
    <w:rsid w:val="56006F54"/>
    <w:rsid w:val="56170651"/>
    <w:rsid w:val="5632548A"/>
    <w:rsid w:val="56462CE4"/>
    <w:rsid w:val="56690780"/>
    <w:rsid w:val="566B62A7"/>
    <w:rsid w:val="56835CE6"/>
    <w:rsid w:val="56B063AF"/>
    <w:rsid w:val="56B73DA7"/>
    <w:rsid w:val="56B75990"/>
    <w:rsid w:val="56B77B44"/>
    <w:rsid w:val="56E12A0D"/>
    <w:rsid w:val="57014E5D"/>
    <w:rsid w:val="57062473"/>
    <w:rsid w:val="57541431"/>
    <w:rsid w:val="5781726E"/>
    <w:rsid w:val="57882E88"/>
    <w:rsid w:val="57A04676"/>
    <w:rsid w:val="57C71C02"/>
    <w:rsid w:val="57D32355"/>
    <w:rsid w:val="57E02CC4"/>
    <w:rsid w:val="57FB5D50"/>
    <w:rsid w:val="58190752"/>
    <w:rsid w:val="583059FA"/>
    <w:rsid w:val="584E5E80"/>
    <w:rsid w:val="58501BF8"/>
    <w:rsid w:val="58900246"/>
    <w:rsid w:val="58B42243"/>
    <w:rsid w:val="58DA7713"/>
    <w:rsid w:val="58E3481A"/>
    <w:rsid w:val="593B4ABC"/>
    <w:rsid w:val="594554D5"/>
    <w:rsid w:val="59613991"/>
    <w:rsid w:val="596C0CB3"/>
    <w:rsid w:val="59822285"/>
    <w:rsid w:val="59886C8F"/>
    <w:rsid w:val="598F49A2"/>
    <w:rsid w:val="59A26483"/>
    <w:rsid w:val="59AC1A50"/>
    <w:rsid w:val="59B47F65"/>
    <w:rsid w:val="59B7401C"/>
    <w:rsid w:val="5A405C9C"/>
    <w:rsid w:val="5A8D6C47"/>
    <w:rsid w:val="5AAD1584"/>
    <w:rsid w:val="5AB67D0C"/>
    <w:rsid w:val="5AB81CD6"/>
    <w:rsid w:val="5AC42429"/>
    <w:rsid w:val="5B0100EA"/>
    <w:rsid w:val="5B022F52"/>
    <w:rsid w:val="5B182775"/>
    <w:rsid w:val="5B3A093D"/>
    <w:rsid w:val="5B6D486F"/>
    <w:rsid w:val="5B8D080C"/>
    <w:rsid w:val="5BB10BFF"/>
    <w:rsid w:val="5BDB3ECE"/>
    <w:rsid w:val="5BE014E5"/>
    <w:rsid w:val="5BEA5EBF"/>
    <w:rsid w:val="5C207B33"/>
    <w:rsid w:val="5C7B745F"/>
    <w:rsid w:val="5CBC5AAE"/>
    <w:rsid w:val="5CBD35D4"/>
    <w:rsid w:val="5CD04DCC"/>
    <w:rsid w:val="5CEB6393"/>
    <w:rsid w:val="5CF92066"/>
    <w:rsid w:val="5D0134C1"/>
    <w:rsid w:val="5D0631CD"/>
    <w:rsid w:val="5D0E5BDE"/>
    <w:rsid w:val="5D3D1041"/>
    <w:rsid w:val="5D5A7075"/>
    <w:rsid w:val="5D604577"/>
    <w:rsid w:val="5D670E7B"/>
    <w:rsid w:val="5DA30A1C"/>
    <w:rsid w:val="5DA622BA"/>
    <w:rsid w:val="5DD010E5"/>
    <w:rsid w:val="5DE0757A"/>
    <w:rsid w:val="5DE11544"/>
    <w:rsid w:val="5DF62584"/>
    <w:rsid w:val="5DFB0858"/>
    <w:rsid w:val="5E084D23"/>
    <w:rsid w:val="5E0D2339"/>
    <w:rsid w:val="5E2F22B0"/>
    <w:rsid w:val="5E4044BD"/>
    <w:rsid w:val="5EA734E4"/>
    <w:rsid w:val="5EA762EA"/>
    <w:rsid w:val="5F0B6EBF"/>
    <w:rsid w:val="5F0C534A"/>
    <w:rsid w:val="5F3A0F0C"/>
    <w:rsid w:val="5F697A43"/>
    <w:rsid w:val="5F730EEF"/>
    <w:rsid w:val="5F8B1768"/>
    <w:rsid w:val="5FA97E40"/>
    <w:rsid w:val="5FB7255D"/>
    <w:rsid w:val="5FD8203F"/>
    <w:rsid w:val="5FDC1FC3"/>
    <w:rsid w:val="5FE01AB3"/>
    <w:rsid w:val="5FF11F12"/>
    <w:rsid w:val="5FF13CC0"/>
    <w:rsid w:val="601B2AEB"/>
    <w:rsid w:val="60251BBC"/>
    <w:rsid w:val="605724D1"/>
    <w:rsid w:val="605D5DF1"/>
    <w:rsid w:val="608E7761"/>
    <w:rsid w:val="60A96349"/>
    <w:rsid w:val="60CA5C5B"/>
    <w:rsid w:val="60EE7D2A"/>
    <w:rsid w:val="60F2118C"/>
    <w:rsid w:val="60F33A68"/>
    <w:rsid w:val="60F5158E"/>
    <w:rsid w:val="61151C31"/>
    <w:rsid w:val="61265BEC"/>
    <w:rsid w:val="61477910"/>
    <w:rsid w:val="6151253D"/>
    <w:rsid w:val="616109D2"/>
    <w:rsid w:val="61730824"/>
    <w:rsid w:val="618E3791"/>
    <w:rsid w:val="61975AA0"/>
    <w:rsid w:val="61BD501B"/>
    <w:rsid w:val="61C13B66"/>
    <w:rsid w:val="61CD250B"/>
    <w:rsid w:val="62436329"/>
    <w:rsid w:val="624502F4"/>
    <w:rsid w:val="626D15F8"/>
    <w:rsid w:val="62791D4B"/>
    <w:rsid w:val="62A2431A"/>
    <w:rsid w:val="62AA45FB"/>
    <w:rsid w:val="62C31218"/>
    <w:rsid w:val="62D02D0B"/>
    <w:rsid w:val="630E2DDB"/>
    <w:rsid w:val="631D3EE3"/>
    <w:rsid w:val="6329551F"/>
    <w:rsid w:val="635F53E5"/>
    <w:rsid w:val="636649C5"/>
    <w:rsid w:val="637349EC"/>
    <w:rsid w:val="638B692D"/>
    <w:rsid w:val="63936E3D"/>
    <w:rsid w:val="63A65F93"/>
    <w:rsid w:val="64065861"/>
    <w:rsid w:val="644852B9"/>
    <w:rsid w:val="649E3CEB"/>
    <w:rsid w:val="64A565CF"/>
    <w:rsid w:val="64BA2E7A"/>
    <w:rsid w:val="65420B1A"/>
    <w:rsid w:val="655F791E"/>
    <w:rsid w:val="6561620F"/>
    <w:rsid w:val="65624D19"/>
    <w:rsid w:val="6562740E"/>
    <w:rsid w:val="6569221D"/>
    <w:rsid w:val="65F24DA7"/>
    <w:rsid w:val="662E109F"/>
    <w:rsid w:val="66613222"/>
    <w:rsid w:val="6675142B"/>
    <w:rsid w:val="669058B5"/>
    <w:rsid w:val="6692162D"/>
    <w:rsid w:val="66BD5900"/>
    <w:rsid w:val="66C37A39"/>
    <w:rsid w:val="66C51A03"/>
    <w:rsid w:val="66CA0DC7"/>
    <w:rsid w:val="6712451C"/>
    <w:rsid w:val="67452B44"/>
    <w:rsid w:val="674C3ED2"/>
    <w:rsid w:val="6791606D"/>
    <w:rsid w:val="67FC1454"/>
    <w:rsid w:val="68091DC3"/>
    <w:rsid w:val="683A01CF"/>
    <w:rsid w:val="68460921"/>
    <w:rsid w:val="68650678"/>
    <w:rsid w:val="68CB7079"/>
    <w:rsid w:val="68D17B03"/>
    <w:rsid w:val="68DC1286"/>
    <w:rsid w:val="68ED6FEF"/>
    <w:rsid w:val="68EE2C1A"/>
    <w:rsid w:val="69012A9A"/>
    <w:rsid w:val="69272501"/>
    <w:rsid w:val="69401815"/>
    <w:rsid w:val="69405A1D"/>
    <w:rsid w:val="69540E1C"/>
    <w:rsid w:val="696F6248"/>
    <w:rsid w:val="697D4817"/>
    <w:rsid w:val="69855479"/>
    <w:rsid w:val="69C9180A"/>
    <w:rsid w:val="69DC778F"/>
    <w:rsid w:val="69DF5576"/>
    <w:rsid w:val="6A0740E0"/>
    <w:rsid w:val="6A0942FC"/>
    <w:rsid w:val="6A294057"/>
    <w:rsid w:val="6A2B7DCF"/>
    <w:rsid w:val="6A3A6264"/>
    <w:rsid w:val="6A3C6480"/>
    <w:rsid w:val="6A505A87"/>
    <w:rsid w:val="6A552E93"/>
    <w:rsid w:val="6AA656A7"/>
    <w:rsid w:val="6AC975E8"/>
    <w:rsid w:val="6ADC37BF"/>
    <w:rsid w:val="6AE0505D"/>
    <w:rsid w:val="6AE14931"/>
    <w:rsid w:val="6AEB3A02"/>
    <w:rsid w:val="6B321631"/>
    <w:rsid w:val="6B4F5D3F"/>
    <w:rsid w:val="6B5B2936"/>
    <w:rsid w:val="6B673089"/>
    <w:rsid w:val="6BAC4F3F"/>
    <w:rsid w:val="6BC04E8F"/>
    <w:rsid w:val="6BD61FBC"/>
    <w:rsid w:val="6C0E1756"/>
    <w:rsid w:val="6C276052"/>
    <w:rsid w:val="6C33740F"/>
    <w:rsid w:val="6C3D203B"/>
    <w:rsid w:val="6C8B2DA7"/>
    <w:rsid w:val="6C9500C9"/>
    <w:rsid w:val="6CB73B9C"/>
    <w:rsid w:val="6CB85C9C"/>
    <w:rsid w:val="6CC462B9"/>
    <w:rsid w:val="6CF22E26"/>
    <w:rsid w:val="6CFE5C6F"/>
    <w:rsid w:val="6D365409"/>
    <w:rsid w:val="6D543AE1"/>
    <w:rsid w:val="6D760E66"/>
    <w:rsid w:val="6D9914F3"/>
    <w:rsid w:val="6DCF3167"/>
    <w:rsid w:val="6DD95D94"/>
    <w:rsid w:val="6DDF784E"/>
    <w:rsid w:val="6DE94229"/>
    <w:rsid w:val="6DEA61F3"/>
    <w:rsid w:val="6E0E0133"/>
    <w:rsid w:val="6E3631E6"/>
    <w:rsid w:val="6E4476B1"/>
    <w:rsid w:val="6E4833ED"/>
    <w:rsid w:val="6E62222D"/>
    <w:rsid w:val="6E6F78C1"/>
    <w:rsid w:val="6E781A51"/>
    <w:rsid w:val="6E8977BA"/>
    <w:rsid w:val="6E9F0D8B"/>
    <w:rsid w:val="6EB53772"/>
    <w:rsid w:val="6EC627BC"/>
    <w:rsid w:val="6ED1305E"/>
    <w:rsid w:val="6EFA2466"/>
    <w:rsid w:val="6F871F4B"/>
    <w:rsid w:val="6F8B1310"/>
    <w:rsid w:val="6FA7439C"/>
    <w:rsid w:val="6FC0545D"/>
    <w:rsid w:val="7000696C"/>
    <w:rsid w:val="700E441B"/>
    <w:rsid w:val="70553DF8"/>
    <w:rsid w:val="707E1C11"/>
    <w:rsid w:val="70AD4428"/>
    <w:rsid w:val="70B054D2"/>
    <w:rsid w:val="70C66AA3"/>
    <w:rsid w:val="711D41EA"/>
    <w:rsid w:val="711E068D"/>
    <w:rsid w:val="71353C29"/>
    <w:rsid w:val="715E6CDC"/>
    <w:rsid w:val="715F2A54"/>
    <w:rsid w:val="71722787"/>
    <w:rsid w:val="717464FF"/>
    <w:rsid w:val="71864485"/>
    <w:rsid w:val="71A05546"/>
    <w:rsid w:val="71C50B09"/>
    <w:rsid w:val="71D93306"/>
    <w:rsid w:val="720A29C0"/>
    <w:rsid w:val="721A7027"/>
    <w:rsid w:val="726B3F3A"/>
    <w:rsid w:val="72A20E4A"/>
    <w:rsid w:val="72FD2525"/>
    <w:rsid w:val="73397A01"/>
    <w:rsid w:val="736305DA"/>
    <w:rsid w:val="738549F4"/>
    <w:rsid w:val="73E14489"/>
    <w:rsid w:val="73EF4563"/>
    <w:rsid w:val="74257F85"/>
    <w:rsid w:val="743C5F7C"/>
    <w:rsid w:val="744321B9"/>
    <w:rsid w:val="74640AAD"/>
    <w:rsid w:val="748A603A"/>
    <w:rsid w:val="74980C58"/>
    <w:rsid w:val="749E3893"/>
    <w:rsid w:val="74A4534E"/>
    <w:rsid w:val="74B310ED"/>
    <w:rsid w:val="74BC7ACC"/>
    <w:rsid w:val="74C01A29"/>
    <w:rsid w:val="74D016FF"/>
    <w:rsid w:val="74D3648A"/>
    <w:rsid w:val="74E24DC3"/>
    <w:rsid w:val="74F636CF"/>
    <w:rsid w:val="74FB2A94"/>
    <w:rsid w:val="75183646"/>
    <w:rsid w:val="752124FA"/>
    <w:rsid w:val="75501031"/>
    <w:rsid w:val="75B50E95"/>
    <w:rsid w:val="75CA2B92"/>
    <w:rsid w:val="75D25EEA"/>
    <w:rsid w:val="75E43528"/>
    <w:rsid w:val="75F61BD9"/>
    <w:rsid w:val="75FE283B"/>
    <w:rsid w:val="761107C1"/>
    <w:rsid w:val="76684159"/>
    <w:rsid w:val="766905FD"/>
    <w:rsid w:val="766F67D5"/>
    <w:rsid w:val="768A2321"/>
    <w:rsid w:val="769B452E"/>
    <w:rsid w:val="769E5DCD"/>
    <w:rsid w:val="76AA29C3"/>
    <w:rsid w:val="76AB2A42"/>
    <w:rsid w:val="76AD7DBE"/>
    <w:rsid w:val="76BD44A5"/>
    <w:rsid w:val="76F8372F"/>
    <w:rsid w:val="76FF41CA"/>
    <w:rsid w:val="77844FC2"/>
    <w:rsid w:val="779A47E6"/>
    <w:rsid w:val="77B51620"/>
    <w:rsid w:val="77E5622B"/>
    <w:rsid w:val="77FE6B23"/>
    <w:rsid w:val="78085BF3"/>
    <w:rsid w:val="78106C17"/>
    <w:rsid w:val="78112CFA"/>
    <w:rsid w:val="781E5417"/>
    <w:rsid w:val="78511348"/>
    <w:rsid w:val="785E5813"/>
    <w:rsid w:val="787943FB"/>
    <w:rsid w:val="78886D34"/>
    <w:rsid w:val="788A6608"/>
    <w:rsid w:val="789B6A68"/>
    <w:rsid w:val="78A53442"/>
    <w:rsid w:val="792E51E6"/>
    <w:rsid w:val="79352A18"/>
    <w:rsid w:val="793A1DDD"/>
    <w:rsid w:val="79621333"/>
    <w:rsid w:val="797A667D"/>
    <w:rsid w:val="797D7F1B"/>
    <w:rsid w:val="79965C54"/>
    <w:rsid w:val="79AB36BA"/>
    <w:rsid w:val="79BF1B3C"/>
    <w:rsid w:val="79DD09BA"/>
    <w:rsid w:val="79E47F9A"/>
    <w:rsid w:val="79EB30D7"/>
    <w:rsid w:val="79ED6E4F"/>
    <w:rsid w:val="7A0F3269"/>
    <w:rsid w:val="7A173ECC"/>
    <w:rsid w:val="7A2B5BC9"/>
    <w:rsid w:val="7A3B22B0"/>
    <w:rsid w:val="7A480580"/>
    <w:rsid w:val="7A8D23E0"/>
    <w:rsid w:val="7A8F43AA"/>
    <w:rsid w:val="7A990D85"/>
    <w:rsid w:val="7AA00365"/>
    <w:rsid w:val="7AC1208A"/>
    <w:rsid w:val="7AC53928"/>
    <w:rsid w:val="7AC5601E"/>
    <w:rsid w:val="7B1E74DC"/>
    <w:rsid w:val="7B243B8A"/>
    <w:rsid w:val="7B2745E3"/>
    <w:rsid w:val="7B332F87"/>
    <w:rsid w:val="7B3E36DA"/>
    <w:rsid w:val="7B42141C"/>
    <w:rsid w:val="7B5537CC"/>
    <w:rsid w:val="7BE14791"/>
    <w:rsid w:val="7C181988"/>
    <w:rsid w:val="7C26489A"/>
    <w:rsid w:val="7C63789C"/>
    <w:rsid w:val="7C662EE9"/>
    <w:rsid w:val="7C694787"/>
    <w:rsid w:val="7C975798"/>
    <w:rsid w:val="7CA3413D"/>
    <w:rsid w:val="7CC11C19"/>
    <w:rsid w:val="7CC3033B"/>
    <w:rsid w:val="7CC85951"/>
    <w:rsid w:val="7CD82038"/>
    <w:rsid w:val="7CEC7892"/>
    <w:rsid w:val="7D162B61"/>
    <w:rsid w:val="7D2F777E"/>
    <w:rsid w:val="7D4A0A5C"/>
    <w:rsid w:val="7D537911"/>
    <w:rsid w:val="7D733B0F"/>
    <w:rsid w:val="7D893333"/>
    <w:rsid w:val="7D902913"/>
    <w:rsid w:val="7D983576"/>
    <w:rsid w:val="7DB27B05"/>
    <w:rsid w:val="7DBA34EC"/>
    <w:rsid w:val="7DC73E5B"/>
    <w:rsid w:val="7E505BFE"/>
    <w:rsid w:val="7E5356EF"/>
    <w:rsid w:val="7E582D05"/>
    <w:rsid w:val="7E790C24"/>
    <w:rsid w:val="7E7A2C7B"/>
    <w:rsid w:val="7E7D7D91"/>
    <w:rsid w:val="7E977CD1"/>
    <w:rsid w:val="7EA128FE"/>
    <w:rsid w:val="7EB443DF"/>
    <w:rsid w:val="7F0A2C09"/>
    <w:rsid w:val="7F1135E0"/>
    <w:rsid w:val="7F1255AA"/>
    <w:rsid w:val="7F3E1EFB"/>
    <w:rsid w:val="7F463BFE"/>
    <w:rsid w:val="7F5636E8"/>
    <w:rsid w:val="7F645A42"/>
    <w:rsid w:val="7F6C4CBA"/>
    <w:rsid w:val="7F6D27E0"/>
    <w:rsid w:val="7F7310BF"/>
    <w:rsid w:val="7F842003"/>
    <w:rsid w:val="7F853FCE"/>
    <w:rsid w:val="7F9B10FB"/>
    <w:rsid w:val="7FBC53A6"/>
    <w:rsid w:val="7FFF78DC"/>
    <w:rsid w:val="E55EAAAB"/>
    <w:rsid w:val="EBFB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宋体" w:hAnsi="宋体" w:cs="宋体"/>
      <w:sz w:val="24"/>
      <w:lang w:val="zh-CN"/>
    </w:rPr>
  </w:style>
  <w:style w:type="paragraph" w:styleId="4">
    <w:name w:val="Normal Indent"/>
    <w:basedOn w:val="1"/>
    <w:next w:val="1"/>
    <w:qFormat/>
    <w:uiPriority w:val="0"/>
    <w:pPr>
      <w:ind w:firstLine="420" w:firstLineChars="200"/>
    </w:pPr>
    <w:rPr>
      <w:rFonts w:eastAsia="仿宋"/>
      <w:sz w:val="32"/>
    </w:rPr>
  </w:style>
  <w:style w:type="paragraph" w:styleId="5">
    <w:name w:val="Body Text Indent"/>
    <w:basedOn w:val="1"/>
    <w:next w:val="4"/>
    <w:qFormat/>
    <w:uiPriority w:val="0"/>
    <w:pPr>
      <w:ind w:firstLine="640" w:firstLineChars="200"/>
    </w:pPr>
    <w:rPr>
      <w:rFonts w:eastAsia="仿宋_GB2312"/>
      <w:sz w:val="32"/>
    </w:rPr>
  </w:style>
  <w:style w:type="paragraph" w:styleId="6">
    <w:name w:val="toc 5"/>
    <w:basedOn w:val="1"/>
    <w:next w:val="1"/>
    <w:unhideWhenUsed/>
    <w:qFormat/>
    <w:uiPriority w:val="39"/>
    <w:pPr>
      <w:ind w:left="1280"/>
      <w:jc w:val="left"/>
    </w:pPr>
    <w:rPr>
      <w:rFonts w:eastAsia="Calibri"/>
      <w:sz w:val="18"/>
      <w:szCs w:val="18"/>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2"/>
    <w:qFormat/>
    <w:uiPriority w:val="0"/>
    <w:pPr>
      <w:snapToGrid w:val="0"/>
      <w:ind w:firstLine="420" w:firstLineChars="100"/>
    </w:pPr>
  </w:style>
  <w:style w:type="paragraph" w:styleId="12">
    <w:name w:val="Body Text First Indent 2"/>
    <w:basedOn w:val="5"/>
    <w:next w:val="1"/>
    <w:qFormat/>
    <w:uiPriority w:val="0"/>
    <w:pPr>
      <w:ind w:firstLine="420"/>
    </w:pPr>
    <w:rPr>
      <w:rFonts w:eastAsia="宋体"/>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NormalCharacter"/>
    <w:qFormat/>
    <w:uiPriority w:val="0"/>
    <w:rPr>
      <w:rFonts w:ascii="Calibri" w:hAnsi="Calibri" w:eastAsia="宋体" w:cs="Times New Roman"/>
      <w:kern w:val="2"/>
      <w:sz w:val="21"/>
      <w:szCs w:val="21"/>
      <w:lang w:val="en-US" w:eastAsia="zh-CN" w:bidi="ar-SA"/>
    </w:rPr>
  </w:style>
  <w:style w:type="paragraph" w:customStyle="1" w:styleId="17">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customStyle="1" w:styleId="18">
    <w:name w:val="BodyText"/>
    <w:basedOn w:val="1"/>
    <w:qFormat/>
    <w:uiPriority w:val="0"/>
    <w:rPr>
      <w:szCs w:val="32"/>
    </w:rPr>
  </w:style>
  <w:style w:type="paragraph" w:customStyle="1" w:styleId="19">
    <w:name w:val="UserStyle_0"/>
    <w:basedOn w:val="1"/>
    <w:qFormat/>
    <w:uiPriority w:val="0"/>
    <w:pPr>
      <w:textAlignment w:val="baseline"/>
    </w:pPr>
    <w:rPr>
      <w:rFonts w:ascii="宋体" w:hAnsi="Courier New"/>
    </w:rPr>
  </w:style>
  <w:style w:type="paragraph" w:customStyle="1" w:styleId="20">
    <w:name w:val="无间隔1"/>
    <w:basedOn w:val="1"/>
    <w:semiHidden/>
    <w:qFormat/>
    <w:uiPriority w:val="0"/>
  </w:style>
  <w:style w:type="paragraph" w:customStyle="1" w:styleId="21">
    <w:name w:val="pa-1"/>
    <w:basedOn w:val="1"/>
    <w:qFormat/>
    <w:uiPriority w:val="0"/>
    <w:pPr>
      <w:widowControl/>
      <w:spacing w:before="150" w:after="150"/>
      <w:jc w:val="left"/>
    </w:pPr>
    <w:rPr>
      <w:rFonts w:ascii="宋体" w:hAnsi="宋体" w:cs="宋体"/>
      <w:kern w:val="0"/>
      <w:sz w:val="24"/>
    </w:rPr>
  </w:style>
  <w:style w:type="character" w:customStyle="1" w:styleId="22">
    <w:name w:val="17"/>
    <w:basedOn w:val="15"/>
    <w:qFormat/>
    <w:uiPriority w:val="0"/>
    <w:rPr>
      <w:rFonts w:hint="default"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12</Pages>
  <Words>6599</Words>
  <Characters>6706</Characters>
  <Lines>51</Lines>
  <Paragraphs>14</Paragraphs>
  <TotalTime>8</TotalTime>
  <ScaleCrop>false</ScaleCrop>
  <LinksUpToDate>false</LinksUpToDate>
  <CharactersWithSpaces>6721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2023-08-19T00:04:00Z</dcterms:created>
  <dc:creator>Administrator</dc:creator>
  <cp:lastModifiedBy>蕾蕾</cp:lastModifiedBy>
  <cp:lastPrinted>2023-12-05T07:58:54Z</cp:lastPrinted>
  <dcterms:modified xsi:type="dcterms:W3CDTF">2023-12-05T08:03:33Z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A89572F9BF7540B18BDD6FF2AE65437A_13</vt:lpwstr>
  </property>
</Properties>
</file>